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bookmarkStart w:id="34" w:name="_GoBack"/>
      <w:bookmarkEnd w:id="34"/>
    </w:p>
    <w:p>
      <w:pPr>
        <w:pStyle w:val="2"/>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2"/>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院内招标采购文件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eastAsia="zh-CN"/>
        </w:rPr>
      </w:pPr>
    </w:p>
    <w:p>
      <w:pPr>
        <w:adjustRightInd w:val="0"/>
        <w:snapToGrid w:val="0"/>
        <w:spacing w:line="360" w:lineRule="auto"/>
        <w:ind w:left="3196" w:leftChars="760" w:hanging="1600" w:hangingChars="500"/>
        <w:rPr>
          <w:rFonts w:hint="eastAsia" w:ascii="宋体" w:hAnsi="宋体"/>
          <w:sz w:val="32"/>
          <w:szCs w:val="32"/>
          <w:lang w:eastAsia="zh-CN"/>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eastAsia="zh-CN"/>
        </w:rPr>
        <w:t>项目名称：</w:t>
      </w:r>
      <w:r>
        <w:rPr>
          <w:rFonts w:hint="eastAsia" w:ascii="宋体" w:hAnsi="宋体"/>
          <w:sz w:val="32"/>
          <w:szCs w:val="32"/>
          <w:lang w:val="en-US" w:eastAsia="zh-CN"/>
        </w:rPr>
        <w:t xml:space="preserve">擦手纸 </w:t>
      </w:r>
    </w:p>
    <w:p>
      <w:pPr>
        <w:adjustRightInd w:val="0"/>
        <w:snapToGrid w:val="0"/>
        <w:spacing w:line="360" w:lineRule="auto"/>
        <w:ind w:left="3196" w:leftChars="760" w:hanging="1600" w:hangingChars="500"/>
        <w:rPr>
          <w:rFonts w:hint="default" w:ascii="宋体" w:hAnsi="宋体"/>
          <w:color w:val="FF0000"/>
          <w:sz w:val="32"/>
          <w:szCs w:val="32"/>
          <w:lang w:val="en-US" w:eastAsia="zh-CN"/>
        </w:rPr>
      </w:pPr>
      <w:r>
        <w:rPr>
          <w:rFonts w:hint="eastAsia" w:ascii="宋体" w:hAnsi="宋体"/>
          <w:sz w:val="32"/>
          <w:szCs w:val="32"/>
          <w:lang w:eastAsia="zh-CN"/>
        </w:rPr>
        <w:t>邀标编号</w:t>
      </w:r>
      <w:r>
        <w:rPr>
          <w:rFonts w:hint="eastAsia" w:ascii="宋体" w:hAnsi="宋体"/>
          <w:color w:val="auto"/>
          <w:sz w:val="32"/>
          <w:szCs w:val="32"/>
          <w:lang w:eastAsia="zh-CN"/>
        </w:rPr>
        <w:t>：</w:t>
      </w:r>
      <w:r>
        <w:rPr>
          <w:rFonts w:hint="eastAsia" w:ascii="宋体" w:hAnsi="宋体"/>
          <w:color w:val="auto"/>
          <w:sz w:val="32"/>
          <w:szCs w:val="32"/>
          <w:lang w:val="en-US" w:eastAsia="zh-CN"/>
        </w:rPr>
        <w:t>BSRM</w:t>
      </w:r>
      <w:r>
        <w:rPr>
          <w:rFonts w:hint="eastAsia" w:ascii="宋体" w:hAnsi="宋体"/>
          <w:color w:val="auto"/>
          <w:sz w:val="32"/>
          <w:szCs w:val="32"/>
          <w:lang w:eastAsia="zh-CN"/>
        </w:rPr>
        <w:t>YY-YNCG</w:t>
      </w:r>
      <w:r>
        <w:rPr>
          <w:rFonts w:hint="eastAsia" w:ascii="宋体" w:hAnsi="宋体"/>
          <w:color w:val="auto"/>
          <w:sz w:val="32"/>
          <w:szCs w:val="32"/>
          <w:lang w:val="en-US" w:eastAsia="zh-CN"/>
        </w:rPr>
        <w:t>-</w:t>
      </w:r>
      <w:r>
        <w:rPr>
          <w:rFonts w:hint="eastAsia" w:ascii="宋体" w:hAnsi="宋体"/>
          <w:color w:val="auto"/>
          <w:sz w:val="32"/>
          <w:szCs w:val="32"/>
          <w:lang w:eastAsia="zh-CN"/>
        </w:rPr>
        <w:t>202</w:t>
      </w:r>
      <w:r>
        <w:rPr>
          <w:rFonts w:hint="eastAsia" w:ascii="宋体" w:hAnsi="宋体"/>
          <w:color w:val="auto"/>
          <w:sz w:val="32"/>
          <w:szCs w:val="32"/>
          <w:lang w:val="en-US" w:eastAsia="zh-CN"/>
        </w:rPr>
        <w:t>3</w:t>
      </w:r>
      <w:r>
        <w:rPr>
          <w:rFonts w:hint="eastAsia" w:ascii="宋体" w:hAnsi="宋体"/>
          <w:color w:val="auto"/>
          <w:sz w:val="32"/>
          <w:szCs w:val="32"/>
          <w:lang w:eastAsia="zh-CN"/>
        </w:rPr>
        <w:t>-</w:t>
      </w:r>
      <w:r>
        <w:rPr>
          <w:rFonts w:hint="eastAsia" w:ascii="宋体" w:hAnsi="宋体"/>
          <w:color w:val="auto"/>
          <w:sz w:val="32"/>
          <w:szCs w:val="32"/>
          <w:lang w:val="en-US" w:eastAsia="zh-CN"/>
        </w:rPr>
        <w:t>12003</w:t>
      </w: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rPr>
        <w:t>邀 标 人：</w:t>
      </w:r>
      <w:r>
        <w:rPr>
          <w:rFonts w:hint="eastAsia" w:ascii="宋体" w:hAnsi="宋体"/>
          <w:sz w:val="32"/>
          <w:szCs w:val="32"/>
          <w:lang w:eastAsia="zh-CN"/>
        </w:rPr>
        <w:t>重庆医科大学附属璧山医院</w:t>
      </w:r>
    </w:p>
    <w:p>
      <w:pPr>
        <w:pStyle w:val="6"/>
        <w:adjustRightInd w:val="0"/>
        <w:snapToGrid w:val="0"/>
        <w:spacing w:line="360" w:lineRule="auto"/>
        <w:jc w:val="center"/>
        <w:rPr>
          <w:sz w:val="44"/>
          <w:szCs w:val="44"/>
        </w:rPr>
      </w:pPr>
    </w:p>
    <w:p>
      <w:pPr>
        <w:pStyle w:val="6"/>
        <w:adjustRightInd w:val="0"/>
        <w:snapToGrid w:val="0"/>
        <w:spacing w:line="360" w:lineRule="auto"/>
        <w:jc w:val="center"/>
        <w:rPr>
          <w:sz w:val="44"/>
          <w:szCs w:val="44"/>
        </w:rPr>
      </w:pPr>
    </w:p>
    <w:p>
      <w:pPr>
        <w:pStyle w:val="6"/>
        <w:adjustRightInd w:val="0"/>
        <w:snapToGrid w:val="0"/>
        <w:spacing w:line="360" w:lineRule="auto"/>
        <w:jc w:val="center"/>
        <w:rPr>
          <w:sz w:val="44"/>
          <w:szCs w:val="44"/>
        </w:rPr>
      </w:pPr>
    </w:p>
    <w:p>
      <w:pPr>
        <w:pStyle w:val="6"/>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3</w:t>
      </w:r>
      <w:r>
        <w:rPr>
          <w:rFonts w:hint="eastAsia"/>
          <w:color w:val="000000"/>
          <w:sz w:val="36"/>
          <w:szCs w:val="36"/>
        </w:rPr>
        <w:t>年</w:t>
      </w:r>
      <w:r>
        <w:rPr>
          <w:rFonts w:hint="eastAsia"/>
          <w:color w:val="000000"/>
          <w:sz w:val="36"/>
          <w:szCs w:val="36"/>
          <w:lang w:val="en-US" w:eastAsia="zh-CN"/>
        </w:rPr>
        <w:t>12</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eastAsia="宋体"/>
          <w:b/>
          <w:sz w:val="32"/>
          <w:szCs w:val="32"/>
          <w:lang w:eastAsia="zh-CN"/>
        </w:rPr>
      </w:pPr>
      <w:r>
        <w:rPr>
          <w:rFonts w:hint="eastAsia" w:ascii="宋体" w:hAnsi="宋体"/>
          <w:b/>
          <w:sz w:val="32"/>
          <w:szCs w:val="32"/>
          <w:lang w:eastAsia="zh-CN"/>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ascii="仿宋" w:hAnsi="仿宋" w:eastAsia="仿宋" w:cs="宋体"/>
          <w:sz w:val="24"/>
          <w:szCs w:val="24"/>
        </w:rPr>
      </w:pPr>
      <w:r>
        <w:rPr>
          <w:rFonts w:hint="eastAsia" w:ascii="仿宋" w:hAnsi="仿宋" w:eastAsia="仿宋"/>
          <w:sz w:val="24"/>
          <w:szCs w:val="24"/>
          <w:lang w:eastAsia="zh-CN"/>
        </w:rPr>
        <w:t>重庆医科大学附属璧山医院</w:t>
      </w:r>
      <w:r>
        <w:rPr>
          <w:rFonts w:hint="eastAsia" w:ascii="仿宋" w:hAnsi="仿宋" w:eastAsia="仿宋"/>
          <w:sz w:val="24"/>
          <w:szCs w:val="24"/>
        </w:rPr>
        <w:t>（下称需方）是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40"/>
        <w:gridCol w:w="2460"/>
        <w:gridCol w:w="12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2640"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2460"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default" w:ascii="Times New Roman" w:hAnsi="Times New Roman" w:eastAsia="仿宋" w:cs="Times New Roman"/>
                <w:b/>
                <w:kern w:val="0"/>
                <w:sz w:val="24"/>
                <w:szCs w:val="24"/>
                <w:lang w:val="en-US" w:eastAsia="zh-CN"/>
              </w:rPr>
              <w:t>预估</w:t>
            </w:r>
            <w:r>
              <w:rPr>
                <w:rFonts w:hint="default" w:ascii="Times New Roman" w:hAnsi="Times New Roman" w:eastAsia="仿宋" w:cs="Times New Roman"/>
                <w:b/>
                <w:kern w:val="0"/>
                <w:sz w:val="24"/>
                <w:szCs w:val="24"/>
                <w:lang w:eastAsia="zh-CN"/>
              </w:rPr>
              <w:t>用量</w:t>
            </w:r>
          </w:p>
        </w:tc>
        <w:tc>
          <w:tcPr>
            <w:tcW w:w="1276"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27"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管理</w:t>
            </w:r>
            <w:r>
              <w:rPr>
                <w:rFonts w:hint="eastAsia" w:eastAsia="仿宋" w:cs="Times New Roman"/>
                <w:b/>
                <w:kern w:val="0"/>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eastAsia="仿宋" w:cs="Times New Roman"/>
                <w:bCs/>
                <w:sz w:val="24"/>
                <w:szCs w:val="24"/>
                <w:lang w:val="en-US" w:eastAsia="zh-CN"/>
              </w:rPr>
              <w:t>擦手</w:t>
            </w:r>
            <w:r>
              <w:rPr>
                <w:rFonts w:hint="default" w:ascii="Times New Roman" w:hAnsi="Times New Roman" w:eastAsia="仿宋" w:cs="Times New Roman"/>
                <w:bCs/>
                <w:sz w:val="24"/>
                <w:szCs w:val="24"/>
                <w:lang w:val="en-US" w:eastAsia="zh-CN"/>
              </w:rPr>
              <w:t>纸</w:t>
            </w:r>
          </w:p>
        </w:tc>
        <w:tc>
          <w:tcPr>
            <w:tcW w:w="2640"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Cs/>
                <w:sz w:val="24"/>
                <w:szCs w:val="24"/>
                <w:lang w:val="en-US" w:eastAsia="zh-CN"/>
              </w:rPr>
              <w:t>全院各科室办公使用</w:t>
            </w:r>
          </w:p>
        </w:tc>
        <w:tc>
          <w:tcPr>
            <w:tcW w:w="2460"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大于10000包</w:t>
            </w:r>
            <w:r>
              <w:rPr>
                <w:rFonts w:hint="default" w:ascii="Times New Roman" w:hAnsi="Times New Roman" w:eastAsia="仿宋" w:cs="Times New Roman"/>
                <w:bCs/>
                <w:sz w:val="24"/>
                <w:szCs w:val="24"/>
                <w:lang w:val="en-US" w:eastAsia="zh-CN"/>
              </w:rPr>
              <w:t>/年</w:t>
            </w:r>
          </w:p>
        </w:tc>
        <w:tc>
          <w:tcPr>
            <w:tcW w:w="1276"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4.4元/包</w:t>
            </w:r>
          </w:p>
        </w:tc>
        <w:tc>
          <w:tcPr>
            <w:tcW w:w="1527"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后勤保障部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27" w:hRule="atLeast"/>
          <w:jc w:val="center"/>
        </w:trPr>
        <w:tc>
          <w:tcPr>
            <w:tcW w:w="1950" w:type="dxa"/>
            <w:tcBorders>
              <w:top w:val="single" w:color="000000" w:sz="6" w:space="0"/>
              <w:left w:val="single" w:color="000000" w:sz="6" w:space="0"/>
              <w:right w:val="single" w:color="000000" w:sz="6" w:space="0"/>
            </w:tcBorders>
            <w:noWrap w:val="0"/>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jc w:val="center"/>
              <w:textAlignment w:val="auto"/>
              <w:outlineLvl w:val="9"/>
              <w:rPr>
                <w:rFonts w:hint="default" w:ascii="Times New Roman" w:hAnsi="Times New Roman" w:eastAsia="微软雅黑" w:cs="Times New Roman"/>
                <w:i w:val="0"/>
                <w:caps w:val="0"/>
                <w:color w:val="555555"/>
                <w:spacing w:val="0"/>
                <w:sz w:val="21"/>
                <w:szCs w:val="21"/>
                <w:lang w:val="en-US" w:eastAsia="zh-CN"/>
              </w:rPr>
            </w:pPr>
            <w:r>
              <w:rPr>
                <w:rStyle w:val="13"/>
                <w:rFonts w:hint="default" w:ascii="Times New Roman" w:hAnsi="Times New Roman" w:eastAsia="微软雅黑" w:cs="Times New Roman"/>
                <w:i w:val="0"/>
                <w:caps w:val="0"/>
                <w:color w:val="555555"/>
                <w:spacing w:val="0"/>
                <w:sz w:val="21"/>
                <w:szCs w:val="21"/>
                <w:lang w:val="en-US" w:eastAsia="zh-CN"/>
              </w:rPr>
              <w:t>产品尺寸</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480" w:lineRule="exact"/>
              <w:jc w:val="both"/>
              <w:rPr>
                <w:rFonts w:hint="default" w:ascii="Times New Roman" w:hAnsi="Times New Roman" w:eastAsia="微软雅黑" w:cs="Times New Roman"/>
                <w:i w:val="0"/>
                <w:caps w:val="0"/>
                <w:color w:val="555555"/>
                <w:spacing w:val="0"/>
                <w:sz w:val="21"/>
                <w:szCs w:val="21"/>
                <w:lang w:val="en-US" w:eastAsia="zh-CN"/>
              </w:rPr>
            </w:pPr>
            <w:r>
              <w:rPr>
                <w:rFonts w:hint="default" w:ascii="Times New Roman" w:hAnsi="Times New Roman" w:eastAsia="仿宋" w:cs="Times New Roman"/>
                <w:bCs/>
                <w:sz w:val="24"/>
                <w:szCs w:val="24"/>
                <w:lang w:val="en-US" w:eastAsia="zh-CN"/>
              </w:rPr>
              <w:t>纸张大小约225*225mm*2层</w:t>
            </w:r>
            <w:r>
              <w:rPr>
                <w:rFonts w:hint="eastAsia" w:eastAsia="仿宋" w:cs="Times New Roman"/>
                <w:bCs/>
                <w:sz w:val="24"/>
                <w:szCs w:val="24"/>
                <w:lang w:val="en-US" w:eastAsia="zh-CN"/>
              </w:rPr>
              <w:t>，</w:t>
            </w:r>
            <w:r>
              <w:rPr>
                <w:rFonts w:hint="default" w:ascii="Times New Roman" w:hAnsi="Times New Roman" w:eastAsia="仿宋" w:cs="Times New Roman"/>
                <w:bCs/>
                <w:sz w:val="24"/>
                <w:szCs w:val="24"/>
                <w:lang w:val="en-US" w:eastAsia="zh-CN"/>
              </w:rPr>
              <w:t>160抽/包</w:t>
            </w:r>
            <w:r>
              <w:rPr>
                <w:rFonts w:hint="eastAsia" w:eastAsia="仿宋" w:cs="Times New Roman"/>
                <w:bCs/>
                <w:sz w:val="24"/>
                <w:szCs w:val="24"/>
                <w:lang w:val="en-US" w:eastAsia="zh-CN"/>
              </w:rPr>
              <w:t>，重量不低于270g/包</w:t>
            </w:r>
            <w:r>
              <w:rPr>
                <w:rFonts w:hint="eastAsia" w:ascii="Times New Roman" w:hAnsi="Times New Roman" w:eastAsia="仿宋" w:cs="Times New Roman"/>
                <w:bCs/>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95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Style w:val="13"/>
                <w:rFonts w:hint="default" w:ascii="Times New Roman" w:hAnsi="Times New Roman" w:eastAsia="微软雅黑" w:cs="Times New Roman"/>
                <w:i w:val="0"/>
                <w:caps w:val="0"/>
                <w:color w:val="555555"/>
                <w:spacing w:val="0"/>
                <w:sz w:val="21"/>
                <w:szCs w:val="21"/>
                <w:lang w:val="en-US" w:eastAsia="zh-CN"/>
              </w:rPr>
            </w:pPr>
            <w:r>
              <w:rPr>
                <w:rStyle w:val="13"/>
                <w:rFonts w:hint="default" w:ascii="Times New Roman" w:hAnsi="Times New Roman" w:eastAsia="微软雅黑" w:cs="Times New Roman"/>
                <w:i w:val="0"/>
                <w:caps w:val="0"/>
                <w:color w:val="555555"/>
                <w:spacing w:val="0"/>
                <w:sz w:val="21"/>
                <w:szCs w:val="21"/>
                <w:lang w:val="en-US" w:eastAsia="zh-CN"/>
              </w:rPr>
              <w:t>材质要求</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240" w:lineRule="auto"/>
              <w:jc w:val="both"/>
              <w:rPr>
                <w:rFonts w:hint="default" w:ascii="Times New Roman" w:hAnsi="Times New Roman" w:eastAsia="微软雅黑" w:cs="Times New Roman"/>
                <w:i w:val="0"/>
                <w:caps w:val="0"/>
                <w:color w:val="555555"/>
                <w:spacing w:val="0"/>
                <w:sz w:val="21"/>
                <w:szCs w:val="21"/>
                <w:lang w:val="en-US" w:eastAsia="zh-CN"/>
              </w:rPr>
            </w:pPr>
            <w:r>
              <w:rPr>
                <w:rFonts w:hint="default" w:ascii="Times New Roman" w:hAnsi="Times New Roman" w:eastAsia="仿宋" w:cs="Times New Roman"/>
                <w:bCs/>
                <w:sz w:val="24"/>
                <w:szCs w:val="24"/>
                <w:lang w:val="en-US" w:eastAsia="zh-CN"/>
              </w:rPr>
              <w:t>材质：原生木浆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195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spacing w:line="280" w:lineRule="exact"/>
              <w:jc w:val="center"/>
              <w:rPr>
                <w:rFonts w:hint="default" w:ascii="Times New Roman" w:hAnsi="Times New Roman" w:eastAsia="宋体" w:cs="Times New Roman"/>
                <w:szCs w:val="21"/>
              </w:rPr>
            </w:pPr>
            <w:r>
              <w:rPr>
                <w:rStyle w:val="13"/>
                <w:rFonts w:hint="default" w:ascii="Times New Roman" w:hAnsi="Times New Roman" w:eastAsia="微软雅黑" w:cs="Times New Roman"/>
                <w:i w:val="0"/>
                <w:caps w:val="0"/>
                <w:color w:val="555555"/>
                <w:spacing w:val="0"/>
                <w:kern w:val="0"/>
                <w:sz w:val="21"/>
                <w:szCs w:val="21"/>
                <w:lang w:val="en-US" w:eastAsia="zh-CN" w:bidi="ar"/>
              </w:rPr>
              <w:t>特性要求</w:t>
            </w:r>
          </w:p>
        </w:tc>
        <w:tc>
          <w:tcPr>
            <w:tcW w:w="7903" w:type="dxa"/>
            <w:gridSpan w:val="4"/>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top"/>
          </w:tcPr>
          <w:p>
            <w:pPr>
              <w:spacing w:line="480" w:lineRule="exact"/>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外观质量：</w:t>
            </w:r>
            <w:r>
              <w:rPr>
                <w:rFonts w:hint="eastAsia" w:ascii="Times New Roman" w:hAnsi="Times New Roman" w:eastAsia="仿宋" w:cs="Times New Roman"/>
                <w:bCs/>
                <w:sz w:val="24"/>
                <w:szCs w:val="24"/>
                <w:lang w:val="en-US" w:eastAsia="zh-CN"/>
              </w:rPr>
              <w:t>颜色为白色；</w:t>
            </w:r>
            <w:r>
              <w:rPr>
                <w:rFonts w:hint="default" w:ascii="Times New Roman" w:hAnsi="Times New Roman" w:eastAsia="仿宋" w:cs="Times New Roman"/>
                <w:bCs/>
                <w:sz w:val="24"/>
                <w:szCs w:val="24"/>
                <w:lang w:val="en-US" w:eastAsia="zh-CN"/>
              </w:rPr>
              <w:t>擦手纸不应有明显的死褶、残缺、破损、沙子、硬质块、生浆团等纸病，不</w:t>
            </w:r>
            <w:r>
              <w:rPr>
                <w:rFonts w:hint="eastAsia" w:ascii="Times New Roman" w:hAnsi="Times New Roman" w:eastAsia="仿宋" w:cs="Times New Roman"/>
                <w:bCs/>
                <w:sz w:val="24"/>
                <w:szCs w:val="24"/>
                <w:lang w:val="en-US" w:eastAsia="zh-CN"/>
              </w:rPr>
              <w:t>易破，不掉纸屑、</w:t>
            </w:r>
            <w:r>
              <w:rPr>
                <w:rFonts w:hint="default" w:ascii="Times New Roman" w:hAnsi="Times New Roman" w:eastAsia="仿宋" w:cs="Times New Roman"/>
                <w:bCs/>
                <w:sz w:val="24"/>
                <w:szCs w:val="24"/>
                <w:lang w:val="en-US" w:eastAsia="zh-CN"/>
              </w:rPr>
              <w:t>掉粉、掉毛。</w:t>
            </w:r>
          </w:p>
          <w:p>
            <w:pPr>
              <w:spacing w:line="480" w:lineRule="exact"/>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擦手纸不应含有毒有害物质，物理性能指标、化学性能指标。</w:t>
            </w:r>
          </w:p>
          <w:p>
            <w:pPr>
              <w:spacing w:line="480" w:lineRule="exact"/>
              <w:jc w:val="both"/>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符合GB/T24455-2022要求并提供质量检测报告。</w:t>
            </w:r>
          </w:p>
          <w:p>
            <w:pPr>
              <w:spacing w:line="480" w:lineRule="exact"/>
              <w:jc w:val="both"/>
              <w:rPr>
                <w:rFonts w:hint="default" w:ascii="Times New Roman" w:hAnsi="Times New Roman" w:eastAsia="宋体" w:cs="Times New Roman"/>
                <w:lang w:val="en-US" w:eastAsia="zh-CN"/>
              </w:rPr>
            </w:pPr>
            <w:r>
              <w:rPr>
                <w:rFonts w:hint="default" w:ascii="Times New Roman" w:hAnsi="Times New Roman" w:eastAsia="仿宋" w:cs="Times New Roman"/>
                <w:bCs/>
                <w:sz w:val="24"/>
                <w:szCs w:val="24"/>
                <w:lang w:val="en-US" w:eastAsia="zh-CN"/>
              </w:rPr>
              <w:t>试用需求：拟中选供应商提供20包擦手纸供采购人试用。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4" w:hRule="atLeast"/>
          <w:jc w:val="center"/>
        </w:trPr>
        <w:tc>
          <w:tcPr>
            <w:tcW w:w="9853" w:type="dxa"/>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spacing w:line="360" w:lineRule="auto"/>
              <w:jc w:val="both"/>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注：预估用量不作为采购数量承诺。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1.</w:t>
      </w:r>
      <w:r>
        <w:rPr>
          <w:rFonts w:hint="default" w:ascii="Times New Roman" w:hAnsi="Times New Roman" w:eastAsia="仿宋" w:cs="Times New Roman"/>
          <w:b/>
          <w:color w:val="auto"/>
          <w:sz w:val="24"/>
          <w:szCs w:val="24"/>
          <w:highlight w:val="none"/>
        </w:rPr>
        <w:t>合同形式为单价</w:t>
      </w:r>
      <w:r>
        <w:rPr>
          <w:rFonts w:hint="eastAsia" w:eastAsia="仿宋" w:cs="Times New Roman"/>
          <w:b/>
          <w:color w:val="auto"/>
          <w:sz w:val="24"/>
          <w:szCs w:val="24"/>
          <w:highlight w:val="none"/>
          <w:lang w:val="en-US" w:eastAsia="zh-CN"/>
        </w:rPr>
        <w:t>供货协议</w:t>
      </w:r>
      <w:r>
        <w:rPr>
          <w:rFonts w:hint="default" w:ascii="Times New Roman" w:hAnsi="Times New Roman" w:eastAsia="仿宋" w:cs="Times New Roman"/>
          <w:b/>
          <w:color w:val="auto"/>
          <w:sz w:val="24"/>
          <w:szCs w:val="24"/>
          <w:highlight w:val="none"/>
        </w:rPr>
        <w:t>，合同</w:t>
      </w:r>
      <w:r>
        <w:rPr>
          <w:rFonts w:hint="eastAsia" w:eastAsia="仿宋" w:cs="Times New Roman"/>
          <w:b/>
          <w:color w:val="auto"/>
          <w:sz w:val="24"/>
          <w:szCs w:val="24"/>
          <w:highlight w:val="none"/>
          <w:lang w:val="en-US" w:eastAsia="zh-CN"/>
        </w:rPr>
        <w:t>期限1</w:t>
      </w:r>
      <w:r>
        <w:rPr>
          <w:rFonts w:hint="default" w:ascii="Times New Roman" w:hAnsi="Times New Roman" w:eastAsia="仿宋" w:cs="Times New Roman"/>
          <w:b/>
          <w:color w:val="auto"/>
          <w:sz w:val="24"/>
          <w:szCs w:val="24"/>
          <w:highlight w:val="none"/>
        </w:rPr>
        <w:t>年</w:t>
      </w:r>
      <w:r>
        <w:rPr>
          <w:rFonts w:hint="default" w:ascii="Times New Roman" w:hAnsi="Times New Roman" w:eastAsia="仿宋" w:cs="Times New Roman"/>
          <w:b/>
          <w:color w:val="auto"/>
          <w:sz w:val="24"/>
          <w:szCs w:val="24"/>
          <w:highlight w:val="none"/>
          <w:lang w:eastAsia="zh-CN"/>
        </w:rPr>
        <w:t>，</w:t>
      </w:r>
      <w:r>
        <w:rPr>
          <w:rFonts w:hint="eastAsia" w:eastAsia="仿宋" w:cs="Times New Roman"/>
          <w:b/>
          <w:color w:val="auto"/>
          <w:sz w:val="24"/>
          <w:szCs w:val="24"/>
          <w:highlight w:val="none"/>
          <w:lang w:val="en-US" w:eastAsia="zh-CN"/>
        </w:rPr>
        <w:t>市场价格在20%以内拨动不调整价格，超出范围双方协商，协商不成另行招采</w:t>
      </w:r>
      <w:r>
        <w:rPr>
          <w:rFonts w:hint="default" w:ascii="Times New Roman" w:hAnsi="Times New Roman" w:eastAsia="仿宋" w:cs="Times New Roman"/>
          <w:b/>
          <w:color w:val="auto"/>
          <w:sz w:val="24"/>
          <w:szCs w:val="24"/>
          <w:highlight w:val="none"/>
          <w:lang w:val="en-US" w:eastAsia="zh-CN"/>
        </w:rPr>
        <w:t>。根据供应商履约考核情况，配送服务考核或产品质量不合格时终止合同，因产品质量需承担合同总金额</w:t>
      </w:r>
      <w:r>
        <w:rPr>
          <w:rFonts w:hint="eastAsia" w:eastAsia="仿宋" w:cs="Times New Roman"/>
          <w:b/>
          <w:color w:val="auto"/>
          <w:sz w:val="24"/>
          <w:szCs w:val="24"/>
          <w:highlight w:val="none"/>
          <w:lang w:val="en-US" w:eastAsia="zh-CN"/>
        </w:rPr>
        <w:t>2</w:t>
      </w:r>
      <w:r>
        <w:rPr>
          <w:rFonts w:hint="default" w:ascii="Times New Roman" w:hAnsi="Times New Roman" w:eastAsia="仿宋" w:cs="Times New Roman"/>
          <w:b/>
          <w:color w:val="auto"/>
          <w:sz w:val="24"/>
          <w:szCs w:val="24"/>
          <w:highlight w:val="none"/>
          <w:lang w:val="en-US" w:eastAsia="zh-CN"/>
        </w:rPr>
        <w:t>0%的违约金</w:t>
      </w:r>
      <w:r>
        <w:rPr>
          <w:rFonts w:hint="eastAsia" w:eastAsia="仿宋" w:cs="Times New Roman"/>
          <w:b/>
          <w:color w:val="auto"/>
          <w:sz w:val="24"/>
          <w:szCs w:val="24"/>
          <w:highlight w:val="none"/>
          <w:lang w:val="en-US" w:eastAsia="zh-CN"/>
        </w:rPr>
        <w:t>，并赔偿采购人的损失</w:t>
      </w:r>
      <w:r>
        <w:rPr>
          <w:rFonts w:hint="default" w:ascii="Times New Roman" w:hAnsi="Times New Roman" w:eastAsia="仿宋" w:cs="Times New Roman"/>
          <w:b/>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ascii="仿宋" w:hAnsi="仿宋" w:eastAsia="仿宋"/>
          <w:b/>
          <w:sz w:val="24"/>
          <w:szCs w:val="24"/>
        </w:rPr>
      </w:pPr>
      <w:r>
        <w:rPr>
          <w:rFonts w:hint="eastAsia" w:ascii="仿宋" w:hAnsi="仿宋" w:eastAsia="仿宋"/>
          <w:b/>
          <w:sz w:val="24"/>
          <w:szCs w:val="24"/>
          <w:lang w:val="en-US" w:eastAsia="zh-CN"/>
        </w:rPr>
        <w:t>2.</w:t>
      </w:r>
      <w:r>
        <w:rPr>
          <w:rFonts w:hint="eastAsia" w:ascii="仿宋" w:hAnsi="仿宋" w:eastAsia="仿宋"/>
          <w:b/>
          <w:sz w:val="24"/>
          <w:szCs w:val="24"/>
        </w:rPr>
        <w:t>投标人（下称竞标人或称供应商）资质条件、能力和信誉：</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1)</w:t>
      </w:r>
      <w:r>
        <w:rPr>
          <w:rFonts w:hint="eastAsia" w:ascii="仿宋" w:hAnsi="仿宋" w:eastAsia="仿宋"/>
          <w:bCs/>
          <w:sz w:val="24"/>
          <w:szCs w:val="24"/>
        </w:rPr>
        <w:t>具有独立承担民事责任的能力；</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sz w:val="24"/>
          <w:szCs w:val="24"/>
          <w:lang w:val="en-US" w:eastAsia="zh-CN"/>
        </w:rPr>
        <w:t>(2)</w:t>
      </w:r>
      <w:r>
        <w:rPr>
          <w:rFonts w:hint="eastAsia" w:ascii="仿宋" w:hAnsi="仿宋" w:eastAsia="仿宋"/>
          <w:sz w:val="24"/>
          <w:szCs w:val="24"/>
        </w:rPr>
        <w:t>具有</w:t>
      </w:r>
      <w:r>
        <w:rPr>
          <w:rFonts w:hint="eastAsia" w:ascii="仿宋" w:hAnsi="仿宋" w:eastAsia="仿宋"/>
          <w:bCs/>
          <w:sz w:val="24"/>
          <w:szCs w:val="24"/>
        </w:rPr>
        <w:t>独立法人资格，其营业范围与本招标项目相适应；</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3)</w:t>
      </w:r>
      <w:r>
        <w:rPr>
          <w:rFonts w:hint="eastAsia" w:ascii="仿宋" w:hAnsi="仿宋" w:eastAsia="仿宋"/>
          <w:bCs/>
          <w:sz w:val="24"/>
          <w:szCs w:val="24"/>
        </w:rPr>
        <w:t>具有独立承担民事责任的能力；</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(4)</w:t>
      </w:r>
      <w:r>
        <w:rPr>
          <w:rFonts w:hint="eastAsia" w:ascii="仿宋" w:hAnsi="仿宋" w:eastAsia="仿宋"/>
          <w:bCs/>
          <w:sz w:val="24"/>
          <w:szCs w:val="24"/>
        </w:rPr>
        <w:t>具有良好的商业信誉和健全的财务会计制度；</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5)</w:t>
      </w:r>
      <w:r>
        <w:rPr>
          <w:rFonts w:hint="eastAsia" w:ascii="仿宋" w:hAnsi="仿宋" w:eastAsia="仿宋"/>
          <w:bCs/>
          <w:sz w:val="24"/>
          <w:szCs w:val="24"/>
        </w:rPr>
        <w:t>参加政府采购活动近三年内，在经营活动中没有重大违纪记录，没有处于投标禁入期内；</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ind w:firstLine="470" w:firstLineChars="196"/>
        <w:textAlignment w:val="auto"/>
        <w:outlineLvl w:val="9"/>
        <w:rPr>
          <w:rFonts w:hint="eastAsia" w:ascii="仿宋" w:hAnsi="仿宋" w:eastAsia="仿宋"/>
          <w:bCs/>
          <w:sz w:val="24"/>
          <w:szCs w:val="24"/>
        </w:rPr>
      </w:pPr>
      <w:r>
        <w:rPr>
          <w:rFonts w:hint="eastAsia" w:ascii="仿宋" w:hAnsi="仿宋" w:eastAsia="仿宋"/>
          <w:bCs/>
          <w:sz w:val="24"/>
          <w:szCs w:val="24"/>
          <w:lang w:val="en-US" w:eastAsia="zh-CN"/>
        </w:rPr>
        <w:t>(</w:t>
      </w:r>
      <w:r>
        <w:rPr>
          <w:rFonts w:hint="eastAsia" w:ascii="仿宋" w:hAnsi="仿宋" w:eastAsia="仿宋"/>
          <w:bCs/>
          <w:sz w:val="24"/>
          <w:szCs w:val="24"/>
          <w:lang w:val="en-US" w:eastAsia="zh-CN"/>
        </w:rPr>
        <w:t>6)</w:t>
      </w:r>
      <w:r>
        <w:rPr>
          <w:rFonts w:hint="eastAsia" w:ascii="仿宋" w:hAnsi="仿宋" w:eastAsia="仿宋"/>
          <w:bCs/>
          <w:sz w:val="24"/>
          <w:szCs w:val="24"/>
        </w:rPr>
        <w:t>具有履行合同所必需的设备和专业技术能力；在重庆应有仓储库房，具有较好的物流配送能力。</w:t>
      </w:r>
    </w:p>
    <w:p>
      <w:pPr>
        <w:pStyle w:val="2"/>
        <w:keepNext w:val="0"/>
        <w:keepLines w:val="0"/>
        <w:pageBreakBefore w:val="0"/>
        <w:widowControl w:val="0"/>
        <w:kinsoku/>
        <w:wordWrap/>
        <w:overflowPunct/>
        <w:topLinePunct w:val="0"/>
        <w:autoSpaceDE/>
        <w:autoSpaceDN/>
        <w:bidi w:val="0"/>
        <w:spacing w:line="440" w:lineRule="exact"/>
        <w:textAlignment w:val="auto"/>
        <w:outlineLvl w:val="9"/>
        <w:rPr>
          <w:rFonts w:hint="eastAsia" w:ascii="仿宋" w:hAnsi="仿宋" w:eastAsia="仿宋" w:cs="Times New Roman"/>
          <w:b/>
          <w:kern w:val="2"/>
          <w:sz w:val="24"/>
          <w:szCs w:val="24"/>
          <w:lang w:val="en-US" w:eastAsia="zh-CN" w:bidi="ar-SA"/>
        </w:rPr>
      </w:pPr>
      <w:r>
        <w:rPr>
          <w:rFonts w:hint="eastAsia" w:ascii="仿宋" w:hAnsi="仿宋" w:eastAsia="仿宋" w:cs="Times New Roman"/>
          <w:b/>
          <w:kern w:val="2"/>
          <w:sz w:val="24"/>
          <w:szCs w:val="24"/>
          <w:lang w:val="en-US" w:eastAsia="zh-CN" w:bidi="ar-SA"/>
        </w:rPr>
        <w:t>3.投标保证金及履约保证金：</w:t>
      </w:r>
    </w:p>
    <w:p>
      <w:pPr>
        <w:pStyle w:val="2"/>
        <w:keepNext w:val="0"/>
        <w:keepLines w:val="0"/>
        <w:pageBreakBefore w:val="0"/>
        <w:widowControl w:val="0"/>
        <w:kinsoku/>
        <w:wordWrap/>
        <w:overflowPunct/>
        <w:topLinePunct w:val="0"/>
        <w:autoSpaceDE/>
        <w:autoSpaceDN/>
        <w:bidi w:val="0"/>
        <w:spacing w:line="440" w:lineRule="exact"/>
        <w:ind w:left="0" w:leftChars="0" w:firstLine="420" w:firstLineChars="175"/>
        <w:textAlignment w:val="auto"/>
        <w:outlineLvl w:val="9"/>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keepNext w:val="0"/>
        <w:keepLines w:val="0"/>
        <w:pageBreakBefore w:val="0"/>
        <w:widowControl w:val="0"/>
        <w:tabs>
          <w:tab w:val="left" w:pos="720"/>
        </w:tabs>
        <w:kinsoku/>
        <w:wordWrap/>
        <w:overflowPunct/>
        <w:topLinePunct w:val="0"/>
        <w:autoSpaceDE/>
        <w:autoSpaceDN/>
        <w:bidi w:val="0"/>
        <w:adjustRightInd w:val="0"/>
        <w:snapToGrid w:val="0"/>
        <w:spacing w:line="440" w:lineRule="exact"/>
        <w:textAlignment w:val="auto"/>
        <w:outlineLvl w:val="9"/>
        <w:rPr>
          <w:rFonts w:hint="default" w:ascii="仿宋" w:hAnsi="仿宋" w:eastAsia="仿宋"/>
          <w:sz w:val="24"/>
          <w:szCs w:val="24"/>
          <w:lang w:val="en-US" w:eastAsia="zh-CN"/>
        </w:rPr>
      </w:pPr>
      <w:r>
        <w:rPr>
          <w:rFonts w:hint="eastAsia" w:ascii="仿宋" w:hAnsi="仿宋" w:eastAsia="仿宋"/>
          <w:b/>
          <w:sz w:val="24"/>
          <w:szCs w:val="24"/>
          <w:lang w:val="en-US" w:eastAsia="zh-CN"/>
        </w:rPr>
        <w:t>4.</w:t>
      </w:r>
      <w:r>
        <w:rPr>
          <w:rFonts w:hint="eastAsia" w:ascii="仿宋" w:hAnsi="仿宋" w:eastAsia="仿宋"/>
          <w:b/>
          <w:sz w:val="24"/>
          <w:szCs w:val="24"/>
        </w:rPr>
        <w:t>交货地点：</w:t>
      </w:r>
      <w:r>
        <w:rPr>
          <w:rFonts w:hint="eastAsia" w:ascii="仿宋" w:hAnsi="仿宋" w:eastAsia="仿宋"/>
          <w:bCs/>
          <w:sz w:val="24"/>
          <w:szCs w:val="24"/>
          <w:lang w:eastAsia="zh-CN"/>
        </w:rPr>
        <w:t>重庆医科大学附属璧山医院</w:t>
      </w:r>
      <w:r>
        <w:rPr>
          <w:rFonts w:hint="eastAsia" w:ascii="仿宋" w:hAnsi="仿宋" w:eastAsia="仿宋"/>
          <w:sz w:val="24"/>
          <w:szCs w:val="24"/>
        </w:rPr>
        <w:t>内需方现场指定位置。</w:t>
      </w:r>
      <w:r>
        <w:rPr>
          <w:rFonts w:hint="eastAsia" w:ascii="仿宋" w:hAnsi="仿宋" w:eastAsia="仿宋"/>
          <w:sz w:val="24"/>
          <w:szCs w:val="24"/>
          <w:lang w:val="en-US" w:eastAsia="zh-CN"/>
        </w:rPr>
        <w:t>交货方式不接受快递形式寄货自取，供应商报价时应考虑配送费。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仿宋" w:hAnsi="仿宋" w:eastAsia="仿宋"/>
          <w:sz w:val="24"/>
          <w:szCs w:val="24"/>
          <w:lang w:val="en-US" w:eastAsia="zh-CN"/>
        </w:rPr>
      </w:pPr>
      <w:r>
        <w:rPr>
          <w:rFonts w:hint="eastAsia" w:ascii="仿宋" w:hAnsi="仿宋" w:eastAsia="仿宋"/>
          <w:b/>
          <w:sz w:val="24"/>
          <w:szCs w:val="24"/>
          <w:lang w:val="en-US" w:eastAsia="zh-CN"/>
        </w:rPr>
        <w:t>5.</w:t>
      </w:r>
      <w:r>
        <w:rPr>
          <w:rFonts w:hint="eastAsia" w:ascii="仿宋" w:hAnsi="仿宋" w:eastAsia="仿宋"/>
          <w:b/>
          <w:sz w:val="24"/>
          <w:szCs w:val="24"/>
        </w:rPr>
        <w:t>供货周期：</w:t>
      </w:r>
      <w:r>
        <w:rPr>
          <w:rFonts w:hint="eastAsia" w:ascii="仿宋" w:hAnsi="仿宋" w:eastAsia="仿宋"/>
          <w:sz w:val="24"/>
          <w:szCs w:val="24"/>
        </w:rPr>
        <w:t>签订合同后，根据需方要求按批次进行供货。</w:t>
      </w:r>
      <w:r>
        <w:rPr>
          <w:rFonts w:hint="eastAsia" w:ascii="仿宋" w:hAnsi="仿宋" w:eastAsia="仿宋"/>
          <w:bCs/>
          <w:sz w:val="24"/>
          <w:szCs w:val="24"/>
        </w:rPr>
        <w:t>一</w:t>
      </w:r>
      <w:r>
        <w:rPr>
          <w:rFonts w:hint="eastAsia" w:ascii="仿宋" w:hAnsi="仿宋" w:eastAsia="仿宋"/>
          <w:sz w:val="24"/>
          <w:szCs w:val="24"/>
        </w:rPr>
        <w:t>般情况收到供货通知后72小时内送货至需方</w:t>
      </w:r>
      <w:r>
        <w:rPr>
          <w:rFonts w:hint="eastAsia" w:ascii="仿宋" w:hAnsi="仿宋" w:eastAsia="仿宋"/>
          <w:sz w:val="24"/>
          <w:szCs w:val="24"/>
          <w:lang w:val="en-US" w:eastAsia="zh-CN"/>
        </w:rPr>
        <w:t>设备物资</w:t>
      </w:r>
      <w:r>
        <w:rPr>
          <w:rFonts w:hint="eastAsia" w:ascii="仿宋" w:hAnsi="仿宋" w:eastAsia="仿宋"/>
          <w:sz w:val="24"/>
          <w:szCs w:val="24"/>
        </w:rPr>
        <w:t>库房或现场指定位置，紧急情况在收到供货通知后24小时内送到。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仿宋" w:hAnsi="仿宋" w:eastAsia="仿宋"/>
          <w:sz w:val="24"/>
          <w:szCs w:val="24"/>
        </w:rPr>
      </w:pPr>
      <w:r>
        <w:rPr>
          <w:rFonts w:hint="eastAsia" w:ascii="仿宋" w:hAnsi="仿宋" w:eastAsia="仿宋"/>
          <w:b/>
          <w:sz w:val="24"/>
          <w:szCs w:val="24"/>
          <w:lang w:val="en-US" w:eastAsia="zh-CN"/>
        </w:rPr>
        <w:t>6.</w:t>
      </w:r>
      <w:r>
        <w:rPr>
          <w:rFonts w:hint="eastAsia" w:ascii="仿宋" w:hAnsi="仿宋" w:eastAsia="仿宋"/>
          <w:b/>
          <w:sz w:val="24"/>
          <w:szCs w:val="24"/>
        </w:rPr>
        <w:t>交货及验收方式：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供应商凭医院出具的中选通知或合同将货物分批</w:t>
      </w:r>
      <w:r>
        <w:rPr>
          <w:rFonts w:hint="eastAsia" w:ascii="仿宋" w:hAnsi="仿宋" w:eastAsia="仿宋"/>
          <w:sz w:val="24"/>
          <w:szCs w:val="24"/>
        </w:rPr>
        <w:t>送达</w:t>
      </w:r>
      <w:r>
        <w:rPr>
          <w:rFonts w:hint="eastAsia" w:ascii="仿宋" w:hAnsi="仿宋" w:eastAsia="仿宋"/>
          <w:sz w:val="24"/>
          <w:szCs w:val="24"/>
          <w:lang w:val="en-US" w:eastAsia="zh-CN"/>
        </w:rPr>
        <w:t>物资</w:t>
      </w:r>
      <w:r>
        <w:rPr>
          <w:rFonts w:hint="eastAsia" w:ascii="仿宋" w:hAnsi="仿宋" w:eastAsia="仿宋"/>
          <w:sz w:val="24"/>
          <w:szCs w:val="24"/>
        </w:rPr>
        <w:t>库房，供应商</w:t>
      </w:r>
      <w:r>
        <w:rPr>
          <w:rFonts w:hint="eastAsia" w:ascii="仿宋" w:hAnsi="仿宋" w:eastAsia="仿宋"/>
          <w:sz w:val="24"/>
          <w:szCs w:val="24"/>
          <w:lang w:val="en-US" w:eastAsia="zh-CN"/>
        </w:rPr>
        <w:t>通知管理部门、</w:t>
      </w:r>
      <w:r>
        <w:rPr>
          <w:rFonts w:hint="eastAsia" w:ascii="仿宋" w:hAnsi="仿宋" w:eastAsia="仿宋"/>
          <w:sz w:val="24"/>
          <w:szCs w:val="24"/>
        </w:rPr>
        <w:t>库管人员</w:t>
      </w:r>
      <w:r>
        <w:rPr>
          <w:rFonts w:hint="eastAsia" w:ascii="仿宋" w:hAnsi="仿宋" w:eastAsia="仿宋"/>
          <w:sz w:val="24"/>
          <w:szCs w:val="24"/>
          <w:lang w:val="en-US" w:eastAsia="zh-CN"/>
        </w:rPr>
        <w:t>等</w:t>
      </w:r>
      <w:r>
        <w:rPr>
          <w:rFonts w:hint="eastAsia" w:ascii="仿宋" w:hAnsi="仿宋" w:eastAsia="仿宋"/>
          <w:sz w:val="24"/>
          <w:szCs w:val="24"/>
        </w:rPr>
        <w:t>当面开箱，共同清点送货清单</w:t>
      </w:r>
      <w:r>
        <w:rPr>
          <w:rFonts w:hint="eastAsia" w:ascii="仿宋" w:hAnsi="仿宋" w:eastAsia="仿宋"/>
          <w:sz w:val="24"/>
          <w:szCs w:val="24"/>
          <w:lang w:val="en-US" w:eastAsia="zh-CN"/>
        </w:rPr>
        <w:t>的物资数量</w:t>
      </w:r>
      <w:r>
        <w:rPr>
          <w:rFonts w:hint="eastAsia" w:ascii="仿宋" w:hAnsi="仿宋" w:eastAsia="仿宋"/>
          <w:sz w:val="24"/>
          <w:szCs w:val="24"/>
        </w:rPr>
        <w:t>、</w:t>
      </w:r>
      <w:r>
        <w:rPr>
          <w:rFonts w:hint="eastAsia" w:ascii="仿宋" w:hAnsi="仿宋" w:eastAsia="仿宋"/>
          <w:sz w:val="24"/>
          <w:szCs w:val="24"/>
          <w:lang w:val="en-US" w:eastAsia="zh-CN"/>
        </w:rPr>
        <w:t>产品质检报告、</w:t>
      </w:r>
      <w:r>
        <w:rPr>
          <w:rFonts w:hint="eastAsia" w:ascii="仿宋" w:hAnsi="仿宋" w:eastAsia="仿宋"/>
          <w:sz w:val="24"/>
          <w:szCs w:val="24"/>
        </w:rPr>
        <w:t>检查包装、外观等</w:t>
      </w:r>
      <w:r>
        <w:rPr>
          <w:rFonts w:hint="eastAsia" w:ascii="仿宋" w:hAnsi="仿宋" w:eastAsia="仿宋"/>
          <w:sz w:val="24"/>
          <w:szCs w:val="24"/>
          <w:lang w:val="en-US" w:eastAsia="zh-CN"/>
        </w:rPr>
        <w:t>无异常</w:t>
      </w:r>
      <w:r>
        <w:rPr>
          <w:rFonts w:hint="eastAsia" w:ascii="仿宋" w:hAnsi="仿宋" w:eastAsia="仿宋"/>
          <w:sz w:val="24"/>
          <w:szCs w:val="24"/>
        </w:rPr>
        <w:t>后入库；</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sz w:val="24"/>
          <w:szCs w:val="24"/>
        </w:rPr>
        <w:t>（2）供应商应保证货物到达用户所在地完好无损</w:t>
      </w:r>
      <w:r>
        <w:rPr>
          <w:rFonts w:hint="eastAsia" w:ascii="仿宋" w:hAnsi="仿宋" w:eastAsia="仿宋"/>
          <w:sz w:val="24"/>
          <w:szCs w:val="24"/>
          <w:lang w:eastAsia="zh-CN"/>
        </w:rPr>
        <w:t>、</w:t>
      </w:r>
      <w:r>
        <w:rPr>
          <w:rFonts w:hint="eastAsia" w:ascii="仿宋" w:hAnsi="仿宋" w:eastAsia="仿宋"/>
          <w:sz w:val="24"/>
          <w:szCs w:val="24"/>
          <w:lang w:val="en-US" w:eastAsia="zh-CN"/>
        </w:rPr>
        <w:t>送货时产品</w:t>
      </w:r>
      <w:r>
        <w:rPr>
          <w:rFonts w:hint="eastAsia" w:ascii="仿宋" w:hAnsi="仿宋" w:eastAsia="仿宋"/>
          <w:sz w:val="24"/>
          <w:szCs w:val="24"/>
        </w:rPr>
        <w:t>有效期</w:t>
      </w:r>
      <w:r>
        <w:rPr>
          <w:rFonts w:hint="eastAsia" w:ascii="仿宋" w:hAnsi="仿宋" w:eastAsia="仿宋"/>
          <w:sz w:val="24"/>
          <w:szCs w:val="24"/>
          <w:lang w:val="en-US" w:eastAsia="zh-CN"/>
        </w:rPr>
        <w:t>半年以上</w:t>
      </w:r>
      <w:r>
        <w:rPr>
          <w:rFonts w:hint="eastAsia" w:ascii="仿宋" w:hAnsi="仿宋" w:eastAsia="仿宋"/>
          <w:sz w:val="24"/>
          <w:szCs w:val="24"/>
        </w:rPr>
        <w:t>，如有缺漏、损坏</w:t>
      </w:r>
      <w:r>
        <w:rPr>
          <w:rFonts w:hint="eastAsia" w:ascii="仿宋" w:hAnsi="仿宋" w:eastAsia="仿宋"/>
          <w:sz w:val="24"/>
          <w:szCs w:val="24"/>
          <w:lang w:eastAsia="zh-CN"/>
        </w:rPr>
        <w:t>、</w:t>
      </w:r>
      <w:r>
        <w:rPr>
          <w:rFonts w:hint="eastAsia" w:ascii="仿宋" w:hAnsi="仿宋" w:eastAsia="仿宋"/>
          <w:sz w:val="24"/>
          <w:szCs w:val="24"/>
          <w:lang w:val="en-US" w:eastAsia="zh-CN"/>
        </w:rPr>
        <w:t>过期</w:t>
      </w:r>
      <w:r>
        <w:rPr>
          <w:rFonts w:hint="eastAsia" w:ascii="仿宋" w:hAnsi="仿宋" w:eastAsia="仿宋"/>
          <w:sz w:val="24"/>
          <w:szCs w:val="24"/>
        </w:rPr>
        <w:t>，由供应商负责免费更换、补齐或赔偿。</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sz w:val="24"/>
          <w:szCs w:val="24"/>
        </w:rPr>
      </w:pPr>
      <w:r>
        <w:rPr>
          <w:rFonts w:hint="eastAsia" w:ascii="仿宋" w:hAnsi="仿宋" w:eastAsia="仿宋"/>
          <w:sz w:val="24"/>
          <w:szCs w:val="24"/>
        </w:rPr>
        <w:t>（3）供应商提供的货物未达到招标文件规定要求，且对采购人造成损失的，由供应商承担一切责任，并赔偿所造成的损失。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sz w:val="24"/>
          <w:szCs w:val="24"/>
        </w:rPr>
      </w:pPr>
      <w:r>
        <w:rPr>
          <w:rFonts w:hint="eastAsia" w:ascii="仿宋" w:hAnsi="仿宋" w:eastAsia="仿宋"/>
          <w:sz w:val="24"/>
          <w:szCs w:val="24"/>
        </w:rPr>
        <w:t>（4）采购人</w:t>
      </w:r>
      <w:r>
        <w:rPr>
          <w:rFonts w:hint="eastAsia" w:ascii="仿宋" w:hAnsi="仿宋" w:eastAsia="仿宋"/>
          <w:sz w:val="24"/>
          <w:szCs w:val="24"/>
          <w:lang w:val="en-US" w:eastAsia="zh-CN"/>
        </w:rPr>
        <w:t>如</w:t>
      </w:r>
      <w:r>
        <w:rPr>
          <w:rFonts w:hint="eastAsia" w:ascii="仿宋" w:hAnsi="仿宋" w:eastAsia="仿宋"/>
          <w:sz w:val="24"/>
          <w:szCs w:val="24"/>
        </w:rPr>
        <w:t>需要厂家对中</w:t>
      </w:r>
      <w:r>
        <w:rPr>
          <w:rFonts w:hint="eastAsia" w:ascii="仿宋" w:hAnsi="仿宋" w:eastAsia="仿宋"/>
          <w:sz w:val="24"/>
          <w:szCs w:val="24"/>
          <w:lang w:val="en-US" w:eastAsia="zh-CN"/>
        </w:rPr>
        <w:t>选</w:t>
      </w:r>
      <w:r>
        <w:rPr>
          <w:rFonts w:hint="eastAsia" w:ascii="仿宋" w:hAnsi="仿宋" w:eastAsia="仿宋"/>
          <w:sz w:val="24"/>
          <w:szCs w:val="24"/>
        </w:rPr>
        <w:t>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仿宋" w:hAnsi="仿宋" w:eastAsia="仿宋" w:cs="Times New Roman"/>
          <w:b/>
          <w:sz w:val="24"/>
          <w:szCs w:val="24"/>
          <w:lang w:val="en-US" w:eastAsia="zh-CN"/>
        </w:rPr>
      </w:pPr>
      <w:r>
        <w:rPr>
          <w:rFonts w:hint="eastAsia" w:ascii="仿宋" w:hAnsi="仿宋" w:eastAsia="仿宋" w:cs="Times New Roman"/>
          <w:b/>
          <w:sz w:val="24"/>
          <w:szCs w:val="24"/>
          <w:lang w:val="en-US" w:eastAsia="zh-CN"/>
        </w:rPr>
        <w:t>7.违约责任：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（1）供应商未在约定期限完成交付的，延迟交付每日支付千分之三的违约金，超过10日未能交付，采购人有权解除合同；</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验收不合格或产品使用中发现的质量缺陷（质量争议可通过委托第三方鉴定的方式明确，鉴定费用由中标人承担），采购人有权要求供应商整改，整改期限为10个日，整改期限届满仍未完成的供应商每日支付千分之三的违约金，超过20日未能完成整改，采购人有权解除合同；</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（3）因不能按期交付、完成验收或整改期限届满导致采购人解除合同，以及供应商明确表示终止合同，供应商应承担合同总金额30%的违约金（最低不少于2万元），并全额赔偿对采购人造成的损失。</w:t>
      </w:r>
    </w:p>
    <w:p>
      <w:pPr>
        <w:keepNext w:val="0"/>
        <w:keepLines w:val="0"/>
        <w:pageBreakBefore w:val="0"/>
        <w:widowControl w:val="0"/>
        <w:kinsoku/>
        <w:wordWrap/>
        <w:overflowPunct/>
        <w:topLinePunct w:val="0"/>
        <w:autoSpaceDE/>
        <w:autoSpaceDN/>
        <w:bidi w:val="0"/>
        <w:adjustRightInd w:val="0"/>
        <w:snapToGrid w:val="0"/>
        <w:spacing w:line="440" w:lineRule="exact"/>
        <w:ind w:firstLine="352" w:firstLineChars="146"/>
        <w:textAlignment w:val="auto"/>
        <w:outlineLvl w:val="9"/>
        <w:rPr>
          <w:rFonts w:ascii="仿宋" w:hAnsi="仿宋" w:eastAsia="仿宋"/>
          <w:b/>
          <w:sz w:val="24"/>
          <w:szCs w:val="24"/>
          <w:highlight w:val="none"/>
        </w:rPr>
      </w:pPr>
      <w:r>
        <w:rPr>
          <w:rFonts w:hint="eastAsia" w:ascii="仿宋" w:hAnsi="仿宋" w:eastAsia="仿宋"/>
          <w:b/>
          <w:sz w:val="24"/>
          <w:szCs w:val="24"/>
          <w:highlight w:val="none"/>
        </w:rPr>
        <w:t>二、付款方式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1、本次耗材采购无预付款、无履约保证金。</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2、按双方签订的采购协议，</w:t>
      </w:r>
      <w:r>
        <w:rPr>
          <w:rFonts w:hint="eastAsia" w:ascii="仿宋" w:hAnsi="仿宋" w:eastAsia="仿宋"/>
          <w:b w:val="0"/>
          <w:bCs w:val="0"/>
          <w:color w:val="auto"/>
          <w:sz w:val="24"/>
          <w:szCs w:val="24"/>
          <w:lang w:val="en-US" w:eastAsia="zh-CN"/>
        </w:rPr>
        <w:t>半年支付结算一次，</w:t>
      </w:r>
      <w:r>
        <w:rPr>
          <w:rFonts w:hint="eastAsia" w:ascii="仿宋" w:hAnsi="仿宋" w:eastAsia="仿宋"/>
          <w:b w:val="0"/>
          <w:bCs w:val="0"/>
          <w:color w:val="auto"/>
          <w:sz w:val="24"/>
          <w:szCs w:val="24"/>
        </w:rPr>
        <w:t>供方提供</w:t>
      </w:r>
      <w:r>
        <w:rPr>
          <w:rFonts w:hint="eastAsia" w:ascii="仿宋" w:hAnsi="仿宋" w:eastAsia="仿宋"/>
          <w:b w:val="0"/>
          <w:bCs w:val="0"/>
          <w:color w:val="auto"/>
          <w:sz w:val="24"/>
          <w:szCs w:val="24"/>
          <w:lang w:val="en-US" w:eastAsia="zh-CN"/>
        </w:rPr>
        <w:t>完整</w:t>
      </w:r>
      <w:r>
        <w:rPr>
          <w:rFonts w:hint="eastAsia" w:ascii="仿宋" w:hAnsi="仿宋" w:eastAsia="仿宋"/>
          <w:b w:val="0"/>
          <w:bCs w:val="0"/>
          <w:color w:val="auto"/>
          <w:sz w:val="24"/>
          <w:szCs w:val="24"/>
        </w:rPr>
        <w:t>有效</w:t>
      </w:r>
      <w:r>
        <w:rPr>
          <w:rFonts w:hint="eastAsia" w:ascii="仿宋" w:hAnsi="仿宋" w:eastAsia="仿宋"/>
          <w:b w:val="0"/>
          <w:bCs w:val="0"/>
          <w:color w:val="auto"/>
          <w:sz w:val="24"/>
          <w:szCs w:val="24"/>
          <w:lang w:val="en-US" w:eastAsia="zh-CN"/>
        </w:rPr>
        <w:t>付款凭据</w:t>
      </w:r>
      <w:r>
        <w:rPr>
          <w:rFonts w:hint="eastAsia" w:ascii="仿宋" w:hAnsi="仿宋" w:eastAsia="仿宋"/>
          <w:b w:val="0"/>
          <w:bCs w:val="0"/>
          <w:color w:val="auto"/>
          <w:sz w:val="24"/>
          <w:szCs w:val="24"/>
        </w:rPr>
        <w:t>后付款。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520" w:firstLineChars="217"/>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3、申请付款资料包含：相应金额的发票、库管签字的送货单以及院内入库单。</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b w:val="0"/>
          <w:bCs w:val="0"/>
          <w:color w:val="auto"/>
          <w:sz w:val="24"/>
          <w:szCs w:val="24"/>
        </w:rPr>
      </w:pPr>
      <w:r>
        <w:rPr>
          <w:rFonts w:hint="eastAsia" w:ascii="仿宋" w:hAnsi="仿宋" w:eastAsia="仿宋"/>
          <w:b w:val="0"/>
          <w:bCs w:val="0"/>
          <w:color w:val="auto"/>
          <w:sz w:val="24"/>
          <w:szCs w:val="24"/>
        </w:rPr>
        <w:t>4、因供方提供虚假付款证明文件，需方有权拒绝付款并不承担违约责任。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352" w:firstLineChars="146"/>
        <w:textAlignment w:val="auto"/>
        <w:outlineLvl w:val="9"/>
        <w:rPr>
          <w:rFonts w:ascii="仿宋" w:hAnsi="仿宋" w:eastAsia="仿宋"/>
          <w:b/>
          <w:sz w:val="24"/>
          <w:szCs w:val="24"/>
        </w:rPr>
      </w:pPr>
      <w:r>
        <w:rPr>
          <w:rFonts w:hint="eastAsia" w:ascii="仿宋" w:hAnsi="仿宋" w:eastAsia="仿宋"/>
          <w:b/>
          <w:sz w:val="24"/>
          <w:szCs w:val="24"/>
        </w:rPr>
        <w:t>三、使用有效期及售后</w:t>
      </w:r>
    </w:p>
    <w:p>
      <w:pPr>
        <w:keepNext w:val="0"/>
        <w:keepLines w:val="0"/>
        <w:pageBreakBefore w:val="0"/>
        <w:widowControl w:val="0"/>
        <w:kinsoku/>
        <w:wordWrap/>
        <w:overflowPunct/>
        <w:topLinePunct w:val="0"/>
        <w:autoSpaceDE/>
        <w:autoSpaceDN/>
        <w:bidi w:val="0"/>
        <w:adjustRightInd w:val="0"/>
        <w:snapToGrid w:val="0"/>
        <w:spacing w:line="440" w:lineRule="exact"/>
        <w:ind w:firstLine="348" w:firstLineChars="145"/>
        <w:textAlignment w:val="auto"/>
        <w:outlineLvl w:val="9"/>
        <w:rPr>
          <w:rFonts w:hint="eastAsia" w:ascii="仿宋" w:hAnsi="仿宋" w:eastAsia="仿宋"/>
          <w:sz w:val="24"/>
          <w:szCs w:val="24"/>
        </w:rPr>
      </w:pPr>
      <w:r>
        <w:rPr>
          <w:rFonts w:hint="eastAsia" w:ascii="仿宋" w:hAnsi="仿宋" w:eastAsia="仿宋"/>
          <w:sz w:val="24"/>
          <w:szCs w:val="24"/>
        </w:rPr>
        <w:t>1、有效期内若出现破损、变质、发霉等质量问题，供方应无条件更换；距有效期结束2个月内产品，供方应无条件更换。</w:t>
      </w:r>
    </w:p>
    <w:p>
      <w:pPr>
        <w:keepNext w:val="0"/>
        <w:keepLines w:val="0"/>
        <w:pageBreakBefore w:val="0"/>
        <w:widowControl w:val="0"/>
        <w:kinsoku/>
        <w:wordWrap/>
        <w:overflowPunct/>
        <w:topLinePunct w:val="0"/>
        <w:autoSpaceDE/>
        <w:autoSpaceDN/>
        <w:bidi w:val="0"/>
        <w:adjustRightInd w:val="0"/>
        <w:snapToGrid w:val="0"/>
        <w:spacing w:line="440" w:lineRule="exact"/>
        <w:ind w:firstLine="348" w:firstLineChars="145"/>
        <w:textAlignment w:val="auto"/>
        <w:outlineLvl w:val="9"/>
        <w:rPr>
          <w:rFonts w:hint="eastAsia" w:ascii="仿宋" w:hAnsi="仿宋" w:eastAsia="仿宋"/>
          <w:sz w:val="24"/>
          <w:szCs w:val="24"/>
        </w:rPr>
      </w:pPr>
      <w:r>
        <w:rPr>
          <w:rFonts w:hint="eastAsia" w:ascii="仿宋" w:hAnsi="仿宋" w:eastAsia="仿宋"/>
          <w:sz w:val="24"/>
          <w:szCs w:val="24"/>
          <w:lang w:val="en-US" w:eastAsia="zh-CN"/>
        </w:rPr>
        <w:t>2.入库后发现产品质量问题，将按照问题产品价格的10倍支付违约金。</w:t>
      </w:r>
      <w:r>
        <w:rPr>
          <w:rFonts w:hint="eastAsia" w:ascii="仿宋" w:hAnsi="仿宋" w:eastAsia="仿宋"/>
          <w:sz w:val="24"/>
          <w:szCs w:val="24"/>
        </w:rPr>
        <w:t>因产品质量问题导致的</w:t>
      </w:r>
      <w:r>
        <w:rPr>
          <w:rFonts w:hint="eastAsia" w:ascii="仿宋" w:hAnsi="仿宋" w:eastAsia="仿宋"/>
          <w:sz w:val="24"/>
          <w:szCs w:val="24"/>
          <w:lang w:val="en-US" w:eastAsia="zh-CN"/>
        </w:rPr>
        <w:t>损害责任，</w:t>
      </w:r>
      <w:r>
        <w:rPr>
          <w:rFonts w:hint="eastAsia" w:ascii="仿宋" w:hAnsi="仿宋" w:eastAsia="仿宋"/>
          <w:sz w:val="24"/>
          <w:szCs w:val="24"/>
        </w:rPr>
        <w:t>由供方承担并先行垫付</w:t>
      </w:r>
      <w:r>
        <w:rPr>
          <w:rFonts w:hint="eastAsia" w:ascii="仿宋" w:hAnsi="仿宋" w:eastAsia="仿宋"/>
          <w:sz w:val="24"/>
          <w:szCs w:val="24"/>
          <w:lang w:val="en-US" w:eastAsia="zh-CN"/>
        </w:rPr>
        <w:t>鉴定费用</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outlineLvl w:val="9"/>
        <w:rPr>
          <w:rFonts w:ascii="仿宋" w:hAnsi="仿宋" w:eastAsia="仿宋"/>
          <w:b/>
          <w:sz w:val="24"/>
          <w:szCs w:val="24"/>
        </w:rPr>
      </w:pPr>
      <w:r>
        <w:rPr>
          <w:rFonts w:hint="eastAsia" w:ascii="仿宋" w:hAnsi="仿宋" w:eastAsia="仿宋"/>
          <w:b/>
          <w:sz w:val="24"/>
          <w:szCs w:val="24"/>
        </w:rPr>
        <w:t>四、标书要求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1、投标文件由下列材料组成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（1）法定代表人授权委托书（签字并加盖企业公章）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（2）投标报价表（签字并加盖企业公章）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（4）被委托人身份证证明</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val="en-US" w:eastAsia="zh-CN"/>
        </w:rPr>
      </w:pPr>
      <w:r>
        <w:rPr>
          <w:rFonts w:hint="eastAsia" w:ascii="仿宋" w:hAnsi="仿宋" w:eastAsia="仿宋"/>
          <w:sz w:val="24"/>
          <w:szCs w:val="24"/>
        </w:rPr>
        <w:t>（5）</w:t>
      </w:r>
      <w:r>
        <w:rPr>
          <w:rFonts w:hint="eastAsia" w:ascii="仿宋" w:hAnsi="仿宋" w:eastAsia="仿宋"/>
          <w:sz w:val="24"/>
          <w:szCs w:val="24"/>
          <w:lang w:val="en-US" w:eastAsia="zh-CN"/>
        </w:rPr>
        <w:t>技术参数和商务要求响应情况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rPr>
        <w:t>所报产品需提供</w:t>
      </w:r>
      <w:r>
        <w:rPr>
          <w:rFonts w:hint="eastAsia" w:ascii="仿宋" w:hAnsi="仿宋" w:eastAsia="仿宋"/>
          <w:sz w:val="24"/>
          <w:szCs w:val="24"/>
          <w:lang w:val="en-US" w:eastAsia="zh-CN"/>
        </w:rPr>
        <w:t>独立完成包装的</w:t>
      </w:r>
      <w:r>
        <w:rPr>
          <w:rFonts w:hint="eastAsia" w:ascii="仿宋" w:hAnsi="仿宋" w:eastAsia="仿宋"/>
          <w:sz w:val="24"/>
          <w:szCs w:val="24"/>
        </w:rPr>
        <w:t>样品</w:t>
      </w:r>
      <w:r>
        <w:rPr>
          <w:rFonts w:hint="eastAsia" w:ascii="仿宋" w:hAnsi="仿宋" w:eastAsia="仿宋"/>
          <w:sz w:val="24"/>
          <w:szCs w:val="24"/>
          <w:lang w:eastAsia="zh-CN"/>
        </w:rPr>
        <w:t>，</w:t>
      </w:r>
      <w:r>
        <w:rPr>
          <w:rFonts w:hint="eastAsia" w:ascii="仿宋" w:hAnsi="仿宋" w:eastAsia="仿宋"/>
          <w:sz w:val="24"/>
          <w:szCs w:val="24"/>
          <w:lang w:val="en-US" w:eastAsia="zh-CN"/>
        </w:rPr>
        <w:t>样品与投标文件一并密封递交。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7</w:t>
      </w:r>
      <w:r>
        <w:rPr>
          <w:rFonts w:hint="eastAsia" w:ascii="仿宋" w:hAnsi="仿宋" w:eastAsia="仿宋"/>
          <w:sz w:val="24"/>
          <w:szCs w:val="24"/>
        </w:rPr>
        <w:t>）资质：</w:t>
      </w:r>
    </w:p>
    <w:p>
      <w:pPr>
        <w:keepNext w:val="0"/>
        <w:keepLines w:val="0"/>
        <w:pageBreakBefore w:val="0"/>
        <w:widowControl w:val="0"/>
        <w:kinsoku/>
        <w:wordWrap/>
        <w:overflowPunct/>
        <w:topLinePunct w:val="0"/>
        <w:autoSpaceDE/>
        <w:autoSpaceDN/>
        <w:bidi w:val="0"/>
        <w:adjustRightInd w:val="0"/>
        <w:snapToGrid w:val="0"/>
        <w:spacing w:line="440" w:lineRule="exact"/>
        <w:ind w:left="59" w:leftChars="28" w:firstLine="578" w:firstLineChars="241"/>
        <w:textAlignment w:val="auto"/>
        <w:outlineLvl w:val="9"/>
        <w:rPr>
          <w:rFonts w:hint="default" w:ascii="仿宋" w:hAnsi="仿宋" w:eastAsia="仿宋"/>
          <w:sz w:val="24"/>
          <w:szCs w:val="24"/>
          <w:lang w:val="en-US" w:eastAsia="zh-CN"/>
        </w:rPr>
      </w:pPr>
      <w:r>
        <w:rPr>
          <w:rFonts w:hint="default" w:ascii="Times New Roman" w:hAnsi="Times New Roman" w:eastAsia="仿宋" w:cs="Times New Roman"/>
          <w:bCs/>
          <w:sz w:val="24"/>
          <w:szCs w:val="24"/>
          <w:lang w:val="en-US" w:eastAsia="zh-CN"/>
        </w:rPr>
        <w:t>GB/T24455-2022要求并提供质量检测报告</w:t>
      </w:r>
      <w:r>
        <w:rPr>
          <w:rFonts w:hint="eastAsia" w:ascii="Times New Roman" w:hAnsi="Times New Roman" w:eastAsia="仿宋" w:cs="Times New Roman"/>
          <w:bCs/>
          <w:sz w:val="24"/>
          <w:szCs w:val="24"/>
          <w:lang w:val="en-US" w:eastAsia="zh-CN"/>
        </w:rPr>
        <w:t>、</w:t>
      </w:r>
      <w:r>
        <w:rPr>
          <w:rFonts w:hint="eastAsia" w:ascii="仿宋" w:hAnsi="仿宋" w:eastAsia="仿宋"/>
          <w:sz w:val="24"/>
          <w:szCs w:val="24"/>
          <w:lang w:val="en-US" w:eastAsia="zh-CN"/>
        </w:rPr>
        <w:t>供应商或厂家的</w:t>
      </w:r>
      <w:r>
        <w:rPr>
          <w:rFonts w:hint="eastAsia" w:ascii="仿宋" w:hAnsi="仿宋" w:eastAsia="仿宋"/>
          <w:sz w:val="24"/>
          <w:szCs w:val="24"/>
        </w:rPr>
        <w:t>营业执照</w:t>
      </w:r>
      <w:r>
        <w:rPr>
          <w:rFonts w:hint="eastAsia" w:ascii="仿宋" w:hAnsi="仿宋" w:eastAsia="仿宋"/>
          <w:sz w:val="24"/>
          <w:szCs w:val="24"/>
          <w:lang w:eastAsia="zh-CN"/>
        </w:rPr>
        <w:t>、</w:t>
      </w:r>
      <w:r>
        <w:rPr>
          <w:rFonts w:hint="eastAsia" w:ascii="仿宋" w:hAnsi="仿宋" w:eastAsia="仿宋"/>
          <w:sz w:val="24"/>
          <w:szCs w:val="24"/>
        </w:rPr>
        <w:t>组织机构代码证</w:t>
      </w:r>
      <w:r>
        <w:rPr>
          <w:rFonts w:hint="eastAsia" w:ascii="仿宋" w:hAnsi="仿宋" w:eastAsia="仿宋"/>
          <w:sz w:val="24"/>
          <w:szCs w:val="24"/>
          <w:lang w:eastAsia="zh-CN"/>
        </w:rPr>
        <w:t>、</w:t>
      </w:r>
      <w:r>
        <w:rPr>
          <w:rFonts w:hint="eastAsia" w:ascii="仿宋" w:hAnsi="仿宋" w:eastAsia="仿宋"/>
          <w:sz w:val="24"/>
          <w:szCs w:val="24"/>
          <w:lang w:val="en-US" w:eastAsia="zh-CN"/>
        </w:rPr>
        <w:t>业绩等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2、投标文件的格式及其签署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（1）投标人的投标文件应清晰的标有“正本”、“副本”，一旦正本与副本不符，以正本为准。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（2）所有投标文件统一用A4纸，字体：4号，仿宋体。填写的内容必须打印或使用不褪色的蓝、黑墨水笔书写，字迹应清晰易于辨认。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（3）投标文件的封面及投标函均应加盖投标人公章，并经法定代表人或其委托代理人签字。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（4）投标文件上不应有行间插字、涂改和覆盖，除非是对投标人写错的地方做必要的修改，</w:t>
      </w:r>
      <w:r>
        <w:rPr>
          <w:rFonts w:hint="eastAsia" w:ascii="仿宋" w:hAnsi="仿宋" w:eastAsia="仿宋"/>
          <w:sz w:val="24"/>
          <w:szCs w:val="24"/>
          <w:lang w:val="en-US" w:eastAsia="zh-CN"/>
        </w:rPr>
        <w:t>并</w:t>
      </w:r>
      <w:r>
        <w:rPr>
          <w:rFonts w:hint="eastAsia" w:ascii="仿宋" w:hAnsi="仿宋" w:eastAsia="仿宋"/>
          <w:sz w:val="24"/>
          <w:szCs w:val="24"/>
        </w:rPr>
        <w:t>在修改处</w:t>
      </w:r>
      <w:r>
        <w:rPr>
          <w:rFonts w:hint="eastAsia" w:ascii="仿宋" w:hAnsi="仿宋" w:eastAsia="仿宋"/>
          <w:sz w:val="24"/>
          <w:szCs w:val="24"/>
          <w:lang w:val="en-US" w:eastAsia="zh-CN"/>
        </w:rPr>
        <w:t>签字盖章</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五、投标文件的密封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投标文件</w:t>
      </w:r>
      <w:r>
        <w:rPr>
          <w:rFonts w:hint="eastAsia" w:ascii="仿宋" w:hAnsi="仿宋" w:eastAsia="仿宋"/>
          <w:sz w:val="24"/>
          <w:szCs w:val="24"/>
          <w:lang w:val="en-US" w:eastAsia="zh-CN"/>
        </w:rPr>
        <w:t>和样品</w:t>
      </w:r>
      <w:r>
        <w:rPr>
          <w:rFonts w:hint="eastAsia" w:ascii="仿宋" w:hAnsi="仿宋" w:eastAsia="仿宋"/>
          <w:sz w:val="24"/>
          <w:szCs w:val="24"/>
        </w:rPr>
        <w:t>应装袋密封</w:t>
      </w:r>
      <w:r>
        <w:rPr>
          <w:rFonts w:hint="eastAsia" w:ascii="仿宋" w:hAnsi="仿宋" w:eastAsia="仿宋"/>
          <w:sz w:val="24"/>
          <w:szCs w:val="24"/>
          <w:lang w:eastAsia="zh-CN"/>
        </w:rPr>
        <w:t>（</w:t>
      </w:r>
      <w:r>
        <w:rPr>
          <w:rFonts w:hint="eastAsia" w:ascii="仿宋" w:hAnsi="仿宋" w:eastAsia="仿宋"/>
          <w:sz w:val="24"/>
          <w:szCs w:val="24"/>
          <w:lang w:val="en-US" w:eastAsia="zh-CN"/>
        </w:rPr>
        <w:t>样品如需退还请自行来院领取</w:t>
      </w:r>
      <w:r>
        <w:rPr>
          <w:rFonts w:hint="eastAsia" w:ascii="仿宋" w:hAnsi="仿宋" w:eastAsia="仿宋"/>
          <w:sz w:val="24"/>
          <w:szCs w:val="24"/>
          <w:lang w:eastAsia="zh-CN"/>
        </w:rPr>
        <w:t>）</w:t>
      </w:r>
      <w:r>
        <w:rPr>
          <w:rFonts w:hint="eastAsia" w:ascii="仿宋" w:hAnsi="仿宋" w:eastAsia="仿宋"/>
          <w:sz w:val="24"/>
          <w:szCs w:val="24"/>
        </w:rPr>
        <w:t>，在封口上并加盖企业公章。并标明邀标项目名称、投标人名称、电话号码及邮箱地址等字样。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（1）投标文件份数</w:t>
      </w:r>
      <w:r>
        <w:rPr>
          <w:rFonts w:hint="eastAsia" w:ascii="仿宋" w:hAnsi="仿宋" w:eastAsia="仿宋"/>
          <w:sz w:val="24"/>
          <w:szCs w:val="24"/>
          <w:lang w:eastAsia="zh-CN"/>
        </w:rPr>
        <w:t>：</w:t>
      </w:r>
      <w:r>
        <w:rPr>
          <w:rFonts w:hint="eastAsia" w:ascii="仿宋" w:hAnsi="仿宋" w:eastAsia="仿宋"/>
          <w:sz w:val="24"/>
          <w:szCs w:val="24"/>
        </w:rPr>
        <w:t>正本一份、副本三份</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outlineLvl w:val="9"/>
        <w:rPr>
          <w:rFonts w:ascii="仿宋" w:hAnsi="仿宋" w:eastAsia="仿宋"/>
          <w:sz w:val="24"/>
          <w:szCs w:val="24"/>
        </w:rPr>
      </w:pPr>
      <w:r>
        <w:rPr>
          <w:rFonts w:hint="eastAsia" w:ascii="仿宋" w:hAnsi="仿宋" w:eastAsia="仿宋"/>
          <w:sz w:val="24"/>
          <w:szCs w:val="24"/>
        </w:rPr>
        <w:t>(2)如果投标文件没有按规定密封，该投标文件将被拒绝接收，并原样退还给投标人。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50"/>
        <w:textAlignment w:val="auto"/>
        <w:outlineLvl w:val="9"/>
        <w:rPr>
          <w:rFonts w:ascii="仿宋" w:hAnsi="仿宋" w:eastAsia="仿宋"/>
          <w:sz w:val="24"/>
          <w:szCs w:val="24"/>
        </w:rPr>
      </w:pPr>
      <w:r>
        <w:rPr>
          <w:rFonts w:hint="eastAsia" w:ascii="仿宋" w:hAnsi="仿宋" w:eastAsia="仿宋"/>
          <w:sz w:val="24"/>
          <w:szCs w:val="24"/>
        </w:rPr>
        <w:t>(3)投标人无论是否中标，投标人递交的投标文件均不退还。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outlineLvl w:val="9"/>
        <w:rPr>
          <w:rFonts w:ascii="仿宋" w:hAnsi="仿宋" w:eastAsia="仿宋"/>
          <w:b/>
          <w:sz w:val="24"/>
          <w:szCs w:val="24"/>
        </w:rPr>
      </w:pPr>
      <w:r>
        <w:rPr>
          <w:rFonts w:hint="eastAsia" w:ascii="仿宋" w:hAnsi="仿宋" w:eastAsia="仿宋"/>
          <w:b/>
          <w:sz w:val="24"/>
          <w:szCs w:val="24"/>
        </w:rPr>
        <w:t>六、项目报价</w:t>
      </w:r>
    </w:p>
    <w:p>
      <w:pPr>
        <w:keepNext w:val="0"/>
        <w:keepLines w:val="0"/>
        <w:pageBreakBefore w:val="0"/>
        <w:widowControl w:val="0"/>
        <w:kinsoku/>
        <w:wordWrap/>
        <w:overflowPunct/>
        <w:topLinePunct w:val="0"/>
        <w:autoSpaceDE/>
        <w:autoSpaceDN/>
        <w:bidi w:val="0"/>
        <w:adjustRightInd w:val="0"/>
        <w:snapToGrid w:val="0"/>
        <w:spacing w:line="440" w:lineRule="exact"/>
        <w:ind w:firstLine="460" w:firstLineChars="192"/>
        <w:textAlignment w:val="auto"/>
        <w:outlineLvl w:val="9"/>
        <w:rPr>
          <w:rFonts w:ascii="仿宋" w:hAnsi="仿宋" w:eastAsia="仿宋"/>
          <w:sz w:val="24"/>
          <w:szCs w:val="24"/>
        </w:rPr>
      </w:pPr>
      <w:r>
        <w:rPr>
          <w:rFonts w:hint="eastAsia" w:ascii="仿宋" w:hAnsi="仿宋" w:eastAsia="仿宋" w:cs="宋体"/>
          <w:kern w:val="0"/>
          <w:sz w:val="24"/>
          <w:szCs w:val="24"/>
        </w:rPr>
        <w:t>报价实行综合单价固定包干，</w:t>
      </w:r>
      <w:r>
        <w:rPr>
          <w:rFonts w:hint="eastAsia" w:ascii="仿宋" w:hAnsi="仿宋" w:eastAsia="仿宋"/>
          <w:sz w:val="24"/>
          <w:szCs w:val="24"/>
        </w:rPr>
        <w:t>报价包括</w:t>
      </w:r>
      <w:r>
        <w:rPr>
          <w:rFonts w:hint="eastAsia" w:ascii="仿宋" w:hAnsi="仿宋" w:eastAsia="仿宋"/>
          <w:sz w:val="24"/>
          <w:szCs w:val="24"/>
          <w:lang w:val="en-US" w:eastAsia="zh-CN"/>
        </w:rPr>
        <w:t>货款</w:t>
      </w:r>
      <w:r>
        <w:rPr>
          <w:rFonts w:hint="eastAsia" w:ascii="仿宋" w:hAnsi="仿宋" w:eastAsia="仿宋"/>
          <w:sz w:val="24"/>
          <w:szCs w:val="24"/>
        </w:rPr>
        <w:t>、运输（含上、下车费用）、场内转运</w:t>
      </w:r>
      <w:r>
        <w:rPr>
          <w:rFonts w:hint="eastAsia" w:ascii="仿宋" w:hAnsi="仿宋" w:eastAsia="仿宋"/>
          <w:sz w:val="24"/>
          <w:szCs w:val="24"/>
          <w:lang w:val="en-US" w:eastAsia="zh-CN"/>
        </w:rPr>
        <w:t>配送</w:t>
      </w:r>
      <w:r>
        <w:rPr>
          <w:rFonts w:hint="eastAsia" w:ascii="仿宋" w:hAnsi="仿宋" w:eastAsia="仿宋"/>
          <w:sz w:val="24"/>
          <w:szCs w:val="24"/>
        </w:rPr>
        <w:t>、检测验收、质保期内的售后服务、各种税金、利润等所有应包括的直接费和间接费。报价必须是需方指定收货地点价格</w:t>
      </w:r>
      <w:r>
        <w:rPr>
          <w:rFonts w:hint="eastAsia" w:ascii="仿宋" w:hAnsi="仿宋" w:eastAsia="仿宋"/>
          <w:sz w:val="24"/>
          <w:szCs w:val="24"/>
          <w:lang w:eastAsia="zh-CN"/>
        </w:rPr>
        <w:t>，</w:t>
      </w:r>
      <w:r>
        <w:rPr>
          <w:rFonts w:hint="eastAsia" w:ascii="仿宋" w:hAnsi="仿宋" w:eastAsia="仿宋"/>
          <w:sz w:val="24"/>
          <w:szCs w:val="24"/>
          <w:lang w:val="en-US" w:eastAsia="zh-CN"/>
        </w:rPr>
        <w:t>不接受货物快递自取</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实际数量以需方根据实际情况确认为准，签订合同后，不论数量增减，单价固定不变。</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七、评标办法</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u w:val="single"/>
        </w:rPr>
        <w:t>资格性检查</w:t>
      </w:r>
      <w:r>
        <w:rPr>
          <w:rFonts w:hint="eastAsia" w:ascii="仿宋" w:hAnsi="仿宋" w:eastAsia="仿宋"/>
          <w:sz w:val="24"/>
          <w:szCs w:val="24"/>
        </w:rPr>
        <w:t>是依据法律法规和邀标文件的规定，对投标文件中的资格证明进行审查，以确定投标人是否具备投标资格；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u w:val="single"/>
        </w:rPr>
        <w:t>符合性检查</w:t>
      </w:r>
      <w:r>
        <w:rPr>
          <w:rFonts w:hint="eastAsia" w:ascii="仿宋" w:hAnsi="仿宋" w:eastAsia="仿宋"/>
          <w:sz w:val="24"/>
          <w:szCs w:val="24"/>
        </w:rPr>
        <w:t>是依据邀标文件的规定，从投标文件的有效性、完整性和对邀标文件的响应程度进行审查，以确定投标人是否对邀标文件的实质性要求作出响应。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评标小组</w:t>
      </w:r>
      <w:r>
        <w:rPr>
          <w:rFonts w:hint="eastAsia" w:ascii="仿宋" w:hAnsi="仿宋" w:eastAsia="仿宋"/>
          <w:sz w:val="24"/>
          <w:szCs w:val="24"/>
        </w:rPr>
        <w:t>对所有初审（资格性检查、符合性检查）合格的投标报价、配置、业绩等进行综合评审。</w:t>
      </w:r>
      <w:r>
        <w:rPr>
          <w:rFonts w:hint="eastAsia" w:ascii="仿宋" w:hAnsi="仿宋" w:eastAsia="仿宋"/>
          <w:sz w:val="24"/>
          <w:szCs w:val="24"/>
          <w:lang w:val="en-US" w:eastAsia="zh-CN"/>
        </w:rPr>
        <w:t>经评估需要外请评标专家的，专家费用由中选供应商承担。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rPr>
      </w:pPr>
      <w:r>
        <w:rPr>
          <w:rFonts w:hint="eastAsia" w:ascii="仿宋" w:hAnsi="仿宋" w:eastAsia="仿宋"/>
          <w:sz w:val="24"/>
          <w:szCs w:val="24"/>
          <w:lang w:val="en-US" w:eastAsia="zh-CN"/>
        </w:rPr>
        <w:t>满足采购人需求的前提下，与供应商进行二次议价，最低评标价法中选</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采购</w:t>
      </w:r>
      <w:r>
        <w:rPr>
          <w:rFonts w:hint="eastAsia" w:ascii="仿宋" w:hAnsi="仿宋" w:eastAsia="仿宋"/>
          <w:sz w:val="24"/>
          <w:szCs w:val="24"/>
        </w:rPr>
        <w:t>人有权采取市场调查、工厂或业绩单位现场考察等方式对中标候选人资质财务、技术、管理能力、产品质量、交付能力及信誉等进行考查，中标候选人必须提供支持和配合</w:t>
      </w:r>
      <w:r>
        <w:rPr>
          <w:rFonts w:hint="eastAsia" w:ascii="仿宋" w:hAnsi="仿宋" w:eastAsia="仿宋"/>
          <w:sz w:val="24"/>
          <w:szCs w:val="24"/>
          <w:lang w:eastAsia="zh-CN"/>
        </w:rPr>
        <w:t>。</w:t>
      </w:r>
      <w:r>
        <w:rPr>
          <w:rFonts w:hint="eastAsia" w:ascii="仿宋" w:hAnsi="仿宋" w:eastAsia="仿宋"/>
          <w:sz w:val="24"/>
          <w:szCs w:val="24"/>
          <w:lang w:val="en-US" w:eastAsia="zh-CN"/>
        </w:rPr>
        <w:t>本项目采用最低评标价法中选，如需试用样品须按报价由低到高</w:t>
      </w:r>
      <w:r>
        <w:rPr>
          <w:rFonts w:hint="eastAsia" w:ascii="仿宋" w:hAnsi="仿宋" w:eastAsia="仿宋"/>
          <w:sz w:val="24"/>
          <w:szCs w:val="24"/>
        </w:rPr>
        <w:t>确定中标人排序。如第一中标人因不可抗力或者自身原因不能履行合同的</w:t>
      </w:r>
      <w:r>
        <w:rPr>
          <w:rFonts w:hint="eastAsia" w:ascii="仿宋" w:hAnsi="仿宋" w:eastAsia="仿宋"/>
          <w:sz w:val="24"/>
          <w:szCs w:val="24"/>
          <w:lang w:val="en-US" w:eastAsia="zh-CN"/>
        </w:rPr>
        <w:t>或样品试用不合格的</w:t>
      </w:r>
      <w:r>
        <w:rPr>
          <w:rFonts w:hint="eastAsia" w:ascii="仿宋" w:hAnsi="仿宋" w:eastAsia="仿宋"/>
          <w:sz w:val="24"/>
          <w:szCs w:val="24"/>
        </w:rPr>
        <w:t>，邀标人可以确定第二中标候选人为中标人，以此类推。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招标</w:t>
      </w:r>
      <w:r>
        <w:rPr>
          <w:rFonts w:hint="eastAsia" w:ascii="仿宋" w:hAnsi="仿宋" w:eastAsia="仿宋"/>
          <w:sz w:val="24"/>
          <w:szCs w:val="24"/>
        </w:rPr>
        <w:t>人对评标结果</w:t>
      </w:r>
      <w:r>
        <w:rPr>
          <w:rFonts w:hint="eastAsia" w:ascii="仿宋" w:hAnsi="仿宋" w:eastAsia="仿宋"/>
          <w:sz w:val="24"/>
          <w:szCs w:val="24"/>
          <w:lang w:val="en-US" w:eastAsia="zh-CN"/>
        </w:rPr>
        <w:t>在医院官网挂网公示1工作日，</w:t>
      </w:r>
      <w:r>
        <w:rPr>
          <w:rFonts w:hint="eastAsia" w:ascii="仿宋" w:hAnsi="仿宋" w:eastAsia="仿宋"/>
          <w:sz w:val="24"/>
          <w:szCs w:val="24"/>
        </w:rPr>
        <w:t>对未中标人不</w:t>
      </w:r>
      <w:r>
        <w:rPr>
          <w:rFonts w:hint="eastAsia" w:ascii="仿宋" w:hAnsi="仿宋" w:eastAsia="仿宋"/>
          <w:sz w:val="24"/>
          <w:szCs w:val="24"/>
          <w:lang w:val="en-US" w:eastAsia="zh-CN"/>
        </w:rPr>
        <w:t>再另行</w:t>
      </w:r>
      <w:r>
        <w:rPr>
          <w:rFonts w:hint="eastAsia" w:ascii="仿宋" w:hAnsi="仿宋" w:eastAsia="仿宋"/>
          <w:sz w:val="24"/>
          <w:szCs w:val="24"/>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3、合同管理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outlineLvl w:val="9"/>
        <w:rPr>
          <w:rFonts w:ascii="仿宋" w:hAnsi="仿宋" w:eastAsia="仿宋"/>
          <w:sz w:val="24"/>
          <w:szCs w:val="24"/>
        </w:rPr>
      </w:pPr>
      <w:r>
        <w:rPr>
          <w:rFonts w:hint="eastAsia" w:ascii="仿宋" w:hAnsi="仿宋" w:eastAsia="仿宋"/>
          <w:sz w:val="24"/>
          <w:szCs w:val="24"/>
        </w:rPr>
        <w:t>中标通知书送达后15日内</w:t>
      </w:r>
      <w:r>
        <w:rPr>
          <w:rFonts w:hint="eastAsia" w:ascii="仿宋" w:hAnsi="仿宋" w:eastAsia="仿宋"/>
          <w:sz w:val="24"/>
          <w:szCs w:val="24"/>
          <w:lang w:val="en-US" w:eastAsia="zh-CN"/>
        </w:rPr>
        <w:t>须</w:t>
      </w:r>
      <w:r>
        <w:rPr>
          <w:rFonts w:hint="eastAsia" w:ascii="仿宋" w:hAnsi="仿宋" w:eastAsia="仿宋"/>
          <w:sz w:val="24"/>
          <w:szCs w:val="24"/>
        </w:rPr>
        <w:t>签订合同，投标人逾期未签订合同的，视为中标人拒绝签订合同，中标人承担违约</w:t>
      </w:r>
      <w:r>
        <w:rPr>
          <w:rFonts w:hint="eastAsia" w:ascii="仿宋" w:hAnsi="仿宋" w:eastAsia="仿宋"/>
          <w:sz w:val="24"/>
          <w:szCs w:val="24"/>
          <w:lang w:val="en-US" w:eastAsia="zh-CN"/>
        </w:rPr>
        <w:t>金10000元，并纳入医院供应商黑名单进行管理</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、发现下列情形之一的，应予废标：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1）发现影响采购公正的违法、违规行为。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2）供应商报价</w:t>
      </w:r>
      <w:r>
        <w:rPr>
          <w:rFonts w:hint="eastAsia" w:ascii="仿宋" w:hAnsi="仿宋" w:eastAsia="仿宋"/>
          <w:sz w:val="24"/>
          <w:szCs w:val="24"/>
          <w:lang w:val="en-US" w:eastAsia="zh-CN"/>
        </w:rPr>
        <w:t>明显</w:t>
      </w:r>
      <w:r>
        <w:rPr>
          <w:rFonts w:hint="eastAsia" w:ascii="仿宋" w:hAnsi="仿宋" w:eastAsia="仿宋"/>
          <w:sz w:val="24"/>
          <w:szCs w:val="24"/>
        </w:rPr>
        <w:t>超过</w:t>
      </w:r>
      <w:r>
        <w:rPr>
          <w:rFonts w:hint="eastAsia" w:ascii="仿宋" w:hAnsi="仿宋" w:eastAsia="仿宋"/>
          <w:sz w:val="24"/>
          <w:szCs w:val="24"/>
          <w:lang w:val="en-US" w:eastAsia="zh-CN"/>
        </w:rPr>
        <w:t>或显著低于</w:t>
      </w:r>
      <w:r>
        <w:rPr>
          <w:rFonts w:hint="eastAsia" w:ascii="仿宋" w:hAnsi="仿宋" w:eastAsia="仿宋"/>
          <w:sz w:val="24"/>
          <w:szCs w:val="24"/>
        </w:rPr>
        <w:t>市场均价，不能</w:t>
      </w:r>
      <w:r>
        <w:rPr>
          <w:rFonts w:hint="eastAsia" w:ascii="仿宋" w:hAnsi="仿宋" w:eastAsia="仿宋"/>
          <w:sz w:val="24"/>
          <w:szCs w:val="24"/>
          <w:lang w:val="en-US" w:eastAsia="zh-CN"/>
        </w:rPr>
        <w:t>做</w:t>
      </w:r>
      <w:r>
        <w:rPr>
          <w:rFonts w:hint="eastAsia" w:ascii="仿宋" w:hAnsi="仿宋" w:eastAsia="仿宋"/>
          <w:sz w:val="24"/>
          <w:szCs w:val="24"/>
        </w:rPr>
        <w:t>合理</w:t>
      </w:r>
      <w:r>
        <w:rPr>
          <w:rFonts w:hint="eastAsia" w:ascii="仿宋" w:hAnsi="仿宋" w:eastAsia="仿宋"/>
          <w:sz w:val="24"/>
          <w:szCs w:val="24"/>
          <w:lang w:val="en-US" w:eastAsia="zh-CN"/>
        </w:rPr>
        <w:t>说明</w:t>
      </w:r>
      <w:r>
        <w:rPr>
          <w:rFonts w:hint="eastAsia" w:ascii="仿宋" w:hAnsi="仿宋" w:eastAsia="仿宋"/>
          <w:sz w:val="24"/>
          <w:szCs w:val="24"/>
        </w:rPr>
        <w:t>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r>
        <w:rPr>
          <w:rFonts w:hint="eastAsia" w:ascii="仿宋" w:hAnsi="仿宋" w:eastAsia="仿宋"/>
          <w:sz w:val="24"/>
          <w:szCs w:val="24"/>
        </w:rPr>
        <w:t>3）因重大变故，采购任务取消的。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sz w:val="24"/>
          <w:szCs w:val="24"/>
          <w:lang w:eastAsia="zh-CN"/>
        </w:rPr>
      </w:pPr>
      <w:r>
        <w:rPr>
          <w:rFonts w:hint="eastAsia" w:ascii="仿宋" w:hAnsi="仿宋" w:eastAsia="仿宋"/>
          <w:sz w:val="24"/>
          <w:szCs w:val="24"/>
        </w:rPr>
        <w:t>4）其他经谈判小组（评标小组）一致认定应予废标情形的。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本次投标不足3家有效供应商的不满足开标条件，否则此次投标作废。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lang w:val="en-US"/>
        </w:rPr>
      </w:pPr>
      <w:r>
        <w:rPr>
          <w:rFonts w:hint="eastAsia" w:ascii="仿宋" w:hAnsi="仿宋" w:eastAsia="仿宋" w:cs="宋体"/>
          <w:kern w:val="0"/>
          <w:sz w:val="24"/>
          <w:szCs w:val="24"/>
          <w:lang w:val="en-US" w:eastAsia="zh-CN"/>
        </w:rPr>
        <w:t>6）供应商投标后拒绝签订合同或明确表示拒绝履约的。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472" w:firstLineChars="196"/>
        <w:textAlignment w:val="auto"/>
        <w:outlineLvl w:val="9"/>
        <w:rPr>
          <w:rFonts w:ascii="仿宋" w:hAnsi="仿宋" w:eastAsia="仿宋"/>
          <w:b/>
          <w:sz w:val="24"/>
          <w:szCs w:val="24"/>
        </w:rPr>
      </w:pPr>
      <w:r>
        <w:rPr>
          <w:rFonts w:hint="eastAsia" w:ascii="仿宋" w:hAnsi="仿宋" w:eastAsia="仿宋"/>
          <w:b/>
          <w:sz w:val="24"/>
          <w:szCs w:val="24"/>
        </w:rPr>
        <w:t>八、其他</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val="en-US" w:eastAsia="zh-CN"/>
        </w:rPr>
      </w:pPr>
      <w:bookmarkStart w:id="0" w:name="_Toc128229721"/>
      <w:bookmarkStart w:id="1" w:name="_Toc128014287"/>
      <w:bookmarkStart w:id="2" w:name="_Toc128229278"/>
      <w:bookmarkStart w:id="3" w:name="_Toc156196446"/>
      <w:bookmarkStart w:id="4" w:name="_Toc237057789"/>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val="en-US" w:eastAsia="zh-CN"/>
        </w:rPr>
      </w:pPr>
      <w:r>
        <w:rPr>
          <w:rFonts w:hint="eastAsia" w:ascii="仿宋" w:hAnsi="仿宋" w:eastAsia="仿宋"/>
          <w:sz w:val="24"/>
          <w:szCs w:val="24"/>
          <w:highlight w:val="none"/>
        </w:rPr>
        <w:t>2、采购文件下载方式：</w:t>
      </w:r>
      <w:r>
        <w:rPr>
          <w:rFonts w:hint="eastAsia" w:ascii="仿宋" w:hAnsi="仿宋" w:eastAsia="仿宋"/>
          <w:sz w:val="24"/>
          <w:szCs w:val="24"/>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3、达到</w:t>
      </w:r>
      <w:r>
        <w:rPr>
          <w:rFonts w:hint="eastAsia" w:ascii="仿宋" w:hAnsi="仿宋" w:eastAsia="仿宋" w:cs="宋体"/>
          <w:kern w:val="0"/>
          <w:sz w:val="24"/>
          <w:szCs w:val="24"/>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4</w:t>
      </w:r>
      <w:r>
        <w:rPr>
          <w:rFonts w:hint="eastAsia" w:ascii="仿宋" w:hAnsi="仿宋" w:eastAsia="仿宋"/>
          <w:sz w:val="24"/>
          <w:szCs w:val="24"/>
        </w:rPr>
        <w:t>、答疑截止时间：</w:t>
      </w:r>
      <w:r>
        <w:rPr>
          <w:rFonts w:hint="eastAsia" w:ascii="仿宋" w:hAnsi="仿宋" w:eastAsia="仿宋"/>
          <w:sz w:val="24"/>
          <w:szCs w:val="24"/>
          <w:lang w:val="en-US" w:eastAsia="zh-CN"/>
        </w:rPr>
        <w:t>公告截止时间</w:t>
      </w:r>
      <w:r>
        <w:rPr>
          <w:rFonts w:hint="eastAsia" w:ascii="仿宋" w:hAnsi="仿宋" w:eastAsia="仿宋"/>
          <w:sz w:val="24"/>
          <w:szCs w:val="24"/>
        </w:rPr>
        <w:t>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5</w:t>
      </w:r>
      <w:r>
        <w:rPr>
          <w:rFonts w:hint="eastAsia" w:ascii="仿宋" w:hAnsi="仿宋" w:eastAsia="仿宋"/>
          <w:sz w:val="24"/>
          <w:szCs w:val="24"/>
        </w:rPr>
        <w:t>、联系人：</w:t>
      </w:r>
      <w:r>
        <w:rPr>
          <w:rFonts w:hint="eastAsia" w:ascii="仿宋" w:hAnsi="仿宋" w:eastAsia="仿宋"/>
          <w:sz w:val="24"/>
          <w:szCs w:val="24"/>
          <w:lang w:val="en-US" w:eastAsia="zh-CN"/>
        </w:rPr>
        <w:t>杜老师</w:t>
      </w:r>
      <w:r>
        <w:rPr>
          <w:rFonts w:hint="eastAsia" w:ascii="仿宋" w:hAnsi="仿宋" w:eastAsia="仿宋"/>
          <w:sz w:val="24"/>
          <w:szCs w:val="24"/>
        </w:rPr>
        <w:t>   联系电话：023-</w:t>
      </w:r>
      <w:r>
        <w:rPr>
          <w:rFonts w:hint="eastAsia" w:ascii="仿宋" w:hAnsi="仿宋" w:eastAsia="仿宋"/>
          <w:sz w:val="24"/>
          <w:szCs w:val="24"/>
          <w:lang w:val="en-US" w:eastAsia="zh-CN"/>
        </w:rPr>
        <w:t>41562788</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6</w:t>
      </w:r>
      <w:r>
        <w:rPr>
          <w:rFonts w:hint="eastAsia" w:ascii="仿宋" w:hAnsi="仿宋" w:eastAsia="仿宋"/>
          <w:sz w:val="24"/>
          <w:szCs w:val="24"/>
        </w:rPr>
        <w:t>、评标地点：</w:t>
      </w:r>
      <w:r>
        <w:rPr>
          <w:rFonts w:hint="eastAsia" w:ascii="仿宋" w:hAnsi="仿宋" w:eastAsia="仿宋"/>
          <w:sz w:val="24"/>
          <w:szCs w:val="24"/>
          <w:lang w:eastAsia="zh-CN"/>
        </w:rPr>
        <w:t>重庆医科大学附属璧山医院</w:t>
      </w:r>
      <w:r>
        <w:rPr>
          <w:rFonts w:hint="eastAsia" w:ascii="仿宋" w:hAnsi="仿宋" w:eastAsia="仿宋"/>
          <w:sz w:val="24"/>
          <w:szCs w:val="24"/>
          <w:lang w:val="en-US" w:eastAsia="zh-CN"/>
        </w:rPr>
        <w:t>行政楼103/307</w:t>
      </w:r>
      <w:r>
        <w:rPr>
          <w:rFonts w:hint="eastAsia" w:ascii="仿宋" w:hAnsi="仿宋" w:eastAsia="仿宋"/>
          <w:sz w:val="24"/>
          <w:szCs w:val="24"/>
        </w:rPr>
        <w:t>会议室。</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outlineLvl w:val="9"/>
        <w:rPr>
          <w:rFonts w:hint="eastAsia" w:ascii="仿宋" w:hAnsi="仿宋" w:eastAsia="仿宋"/>
          <w:sz w:val="24"/>
          <w:szCs w:val="24"/>
        </w:rPr>
        <w:sectPr>
          <w:pgSz w:w="11906" w:h="16838"/>
          <w:pgMar w:top="1134" w:right="1134" w:bottom="1134" w:left="1134" w:header="851" w:footer="992" w:gutter="0"/>
          <w:cols w:space="720" w:num="1"/>
          <w:docGrid w:type="lines" w:linePitch="312" w:charSpace="0"/>
        </w:sectPr>
      </w:pPr>
      <w:r>
        <w:rPr>
          <w:rFonts w:hint="eastAsia" w:ascii="仿宋" w:hAnsi="仿宋" w:eastAsia="仿宋"/>
          <w:sz w:val="24"/>
          <w:szCs w:val="24"/>
          <w:lang w:val="en-US" w:eastAsia="zh-CN"/>
        </w:rPr>
        <w:t>7</w:t>
      </w:r>
      <w:r>
        <w:rPr>
          <w:rFonts w:hint="eastAsia" w:ascii="仿宋" w:hAnsi="仿宋" w:eastAsia="仿宋"/>
          <w:sz w:val="24"/>
          <w:szCs w:val="24"/>
        </w:rPr>
        <w:t>、供货时间：收到中标通知书后5天内。</w:t>
      </w:r>
    </w:p>
    <w:p>
      <w:pPr>
        <w:adjustRightInd w:val="0"/>
        <w:snapToGrid w:val="0"/>
        <w:spacing w:line="360" w:lineRule="auto"/>
        <w:jc w:val="center"/>
        <w:rPr>
          <w:rFonts w:ascii="仿宋_GB2312" w:eastAsia="仿宋_GB2312"/>
          <w:b/>
        </w:rPr>
      </w:pPr>
      <w:r>
        <w:rPr>
          <w:rFonts w:hint="eastAsia" w:ascii="仿宋_GB2312" w:eastAsia="仿宋_GB2312"/>
          <w:b/>
          <w:sz w:val="32"/>
          <w:szCs w:val="32"/>
        </w:rPr>
        <w:t>投标文件格式</w:t>
      </w:r>
      <w:bookmarkEnd w:id="0"/>
      <w:bookmarkEnd w:id="1"/>
      <w:bookmarkEnd w:id="2"/>
      <w:bookmarkEnd w:id="3"/>
      <w:bookmarkEnd w:id="4"/>
    </w:p>
    <w:p>
      <w:pPr>
        <w:numPr>
          <w:ilvl w:val="0"/>
          <w:numId w:val="1"/>
        </w:numPr>
        <w:autoSpaceDE w:val="0"/>
        <w:autoSpaceDN w:val="0"/>
        <w:adjustRightInd w:val="0"/>
        <w:snapToGrid w:val="0"/>
        <w:spacing w:line="360" w:lineRule="auto"/>
        <w:jc w:val="center"/>
        <w:rPr>
          <w:rFonts w:ascii="仿宋_GB2312" w:eastAsia="仿宋_GB2312"/>
          <w:b/>
          <w:sz w:val="24"/>
          <w:lang w:val="zh-CN"/>
        </w:rPr>
      </w:pPr>
      <w:r>
        <w:rPr>
          <w:rFonts w:hint="eastAsia" w:ascii="仿宋_GB2312" w:hAnsi="宋体" w:eastAsia="仿宋_GB2312" w:cs="宋体"/>
          <w:b/>
          <w:sz w:val="24"/>
          <w:lang w:val="zh-CN"/>
        </w:rPr>
        <w:t>项目投标书（封面）</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投标项目名称：                              （第     标包）</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 xml:space="preserve">邀标文件编号：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地址：</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电话：                              邮编：</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联系人：</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 （盖章）</w:t>
      </w: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firstLine="3424" w:firstLineChars="1421"/>
        <w:rPr>
          <w:rFonts w:ascii="仿宋_GB2312" w:hAnsi="宋体" w:eastAsia="仿宋_GB2312" w:cs="宋体"/>
          <w:b/>
          <w:sz w:val="24"/>
          <w:lang w:val="zh-CN"/>
        </w:rPr>
      </w:pPr>
      <w:r>
        <w:rPr>
          <w:rFonts w:hint="eastAsia" w:ascii="仿宋_GB2312" w:hAnsi="宋体" w:eastAsia="仿宋_GB2312" w:cs="宋体"/>
          <w:b/>
          <w:sz w:val="24"/>
          <w:lang w:val="zh-CN"/>
        </w:rPr>
        <w:t>二、投标书</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重庆医科大学附属璧山医院：</w:t>
      </w:r>
    </w:p>
    <w:p>
      <w:pPr>
        <w:autoSpaceDE w:val="0"/>
        <w:autoSpaceDN w:val="0"/>
        <w:adjustRightInd w:val="0"/>
        <w:snapToGrid w:val="0"/>
        <w:spacing w:line="360" w:lineRule="auto"/>
        <w:ind w:firstLine="480" w:firstLineChars="200"/>
        <w:rPr>
          <w:rFonts w:ascii="仿宋_GB2312" w:eastAsia="仿宋_GB2312"/>
          <w:b/>
          <w:bCs/>
          <w:color w:val="auto"/>
          <w:sz w:val="24"/>
          <w:lang w:val="zh-CN"/>
        </w:rPr>
      </w:pPr>
      <w:r>
        <w:rPr>
          <w:rFonts w:hint="eastAsia" w:ascii="仿宋_GB2312" w:hAnsi="宋体" w:eastAsia="仿宋_GB2312" w:cs="宋体"/>
          <w:sz w:val="24"/>
          <w:lang w:val="zh-CN"/>
        </w:rPr>
        <w:t>我们收到贵院</w:t>
      </w:r>
      <w:r>
        <w:rPr>
          <w:rFonts w:hint="eastAsia" w:ascii="仿宋_GB2312" w:hAnsi="宋体" w:eastAsia="仿宋_GB2312" w:cs="宋体"/>
          <w:sz w:val="24"/>
          <w:u w:val="single"/>
          <w:lang w:val="zh-CN"/>
        </w:rPr>
        <w:t xml:space="preserve">                     </w:t>
      </w:r>
      <w:r>
        <w:rPr>
          <w:rFonts w:hint="eastAsia" w:ascii="仿宋_GB2312" w:hAnsi="宋体" w:eastAsia="仿宋_GB2312" w:cs="宋体"/>
          <w:sz w:val="24"/>
          <w:lang w:val="zh-CN"/>
        </w:rPr>
        <w:t>的邀标文件（编号              ），经详细研究，愿意参加投标。并授权下述签字人</w:t>
      </w:r>
      <w:r>
        <w:rPr>
          <w:rFonts w:hint="eastAsia" w:ascii="仿宋_GB2312" w:hAnsi="宋体" w:eastAsia="仿宋_GB2312" w:cs="宋体"/>
          <w:sz w:val="24"/>
          <w:u w:val="single"/>
          <w:lang w:val="zh-CN"/>
        </w:rPr>
        <w:t xml:space="preserve">            </w:t>
      </w:r>
      <w:r>
        <w:rPr>
          <w:rFonts w:hint="eastAsia" w:ascii="仿宋_GB2312" w:hAnsi="宋体" w:eastAsia="仿宋_GB2312" w:cs="宋体"/>
          <w:sz w:val="24"/>
          <w:lang w:val="zh-CN"/>
        </w:rPr>
        <w:t>，全权代表我投标单位提交下述文件</w:t>
      </w:r>
      <w:r>
        <w:rPr>
          <w:rFonts w:hint="eastAsia" w:ascii="仿宋_GB2312" w:hAnsi="宋体" w:eastAsia="仿宋_GB2312" w:cs="宋体"/>
          <w:b/>
          <w:bCs/>
          <w:color w:val="auto"/>
          <w:sz w:val="24"/>
          <w:lang w:val="zh-CN"/>
        </w:rPr>
        <w:t>正本一份，副本一式</w:t>
      </w:r>
      <w:r>
        <w:rPr>
          <w:rFonts w:hint="eastAsia" w:ascii="仿宋_GB2312" w:hAnsi="宋体" w:eastAsia="仿宋_GB2312" w:cs="宋体"/>
          <w:b/>
          <w:bCs/>
          <w:color w:val="auto"/>
          <w:sz w:val="24"/>
          <w:u w:val="single"/>
          <w:lang w:val="zh-CN"/>
        </w:rPr>
        <w:t>三</w:t>
      </w:r>
      <w:r>
        <w:rPr>
          <w:rFonts w:hint="eastAsia" w:ascii="仿宋_GB2312" w:hAnsi="宋体" w:eastAsia="仿宋_GB2312" w:cs="宋体"/>
          <w:b/>
          <w:bCs/>
          <w:color w:val="auto"/>
          <w:sz w:val="24"/>
          <w:lang w:val="zh-CN"/>
        </w:rPr>
        <w:t>份。文件包括：</w:t>
      </w:r>
    </w:p>
    <w:p>
      <w:pPr>
        <w:autoSpaceDE w:val="0"/>
        <w:autoSpaceDN w:val="0"/>
        <w:adjustRightInd w:val="0"/>
        <w:snapToGrid w:val="0"/>
        <w:spacing w:line="360" w:lineRule="auto"/>
        <w:ind w:firstLine="480"/>
        <w:rPr>
          <w:rFonts w:ascii="仿宋_GB2312" w:hAnsi="宋体" w:eastAsia="仿宋_GB2312" w:cs="宋体"/>
          <w:color w:val="auto"/>
          <w:sz w:val="24"/>
          <w:lang w:val="zh-CN"/>
        </w:rPr>
      </w:pPr>
      <w:r>
        <w:rPr>
          <w:rFonts w:hint="eastAsia" w:ascii="仿宋_GB2312" w:hAnsi="宋体" w:eastAsia="仿宋_GB2312" w:cs="宋体"/>
          <w:color w:val="auto"/>
          <w:sz w:val="24"/>
          <w:lang w:val="zh-CN"/>
        </w:rPr>
        <w:t>1.投标书。</w:t>
      </w:r>
    </w:p>
    <w:p>
      <w:pPr>
        <w:autoSpaceDE w:val="0"/>
        <w:autoSpaceDN w:val="0"/>
        <w:adjustRightInd w:val="0"/>
        <w:snapToGrid w:val="0"/>
        <w:spacing w:line="360" w:lineRule="auto"/>
        <w:ind w:firstLine="480"/>
        <w:rPr>
          <w:rFonts w:ascii="仿宋_GB2312" w:eastAsia="仿宋_GB2312"/>
          <w:color w:val="auto"/>
          <w:sz w:val="24"/>
          <w:lang w:val="zh-CN"/>
        </w:rPr>
      </w:pPr>
      <w:r>
        <w:rPr>
          <w:rFonts w:hint="eastAsia" w:ascii="仿宋_GB2312" w:hAnsi="宋体" w:eastAsia="仿宋_GB2312" w:cs="宋体"/>
          <w:color w:val="auto"/>
          <w:sz w:val="24"/>
          <w:lang w:val="zh-CN"/>
        </w:rPr>
        <w:t>2.资格证明文件。</w:t>
      </w:r>
    </w:p>
    <w:p>
      <w:pPr>
        <w:autoSpaceDE w:val="0"/>
        <w:autoSpaceDN w:val="0"/>
        <w:adjustRightInd w:val="0"/>
        <w:snapToGrid w:val="0"/>
        <w:spacing w:line="360" w:lineRule="auto"/>
        <w:rPr>
          <w:rFonts w:ascii="仿宋_GB2312" w:eastAsia="仿宋_GB2312"/>
          <w:color w:val="auto"/>
          <w:sz w:val="24"/>
          <w:lang w:val="zh-CN"/>
        </w:rPr>
      </w:pPr>
      <w:r>
        <w:rPr>
          <w:rFonts w:hint="eastAsia" w:ascii="仿宋_GB2312" w:hAnsi="宋体" w:eastAsia="仿宋_GB2312" w:cs="宋体"/>
          <w:color w:val="auto"/>
          <w:sz w:val="24"/>
          <w:lang w:val="zh-CN"/>
        </w:rPr>
        <w:t xml:space="preserve">    3.并同时宣布愿意遵守下列条款：</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（1）承认和愿意按照邀标文件的各项规定和要求，提供邀标产品。投标单见附表1。</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（2）愿意按照国家《合同法》履行自己的责任和义务。</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（3）理解招标人不以最低价格作为唯一中标的选择标准。</w:t>
      </w:r>
    </w:p>
    <w:p>
      <w:pPr>
        <w:autoSpaceDE w:val="0"/>
        <w:autoSpaceDN w:val="0"/>
        <w:adjustRightInd w:val="0"/>
        <w:snapToGrid w:val="0"/>
        <w:spacing w:line="360" w:lineRule="auto"/>
        <w:ind w:firstLine="420" w:firstLineChars="175"/>
        <w:rPr>
          <w:rFonts w:ascii="仿宋_GB2312" w:hAnsi="宋体" w:eastAsia="仿宋_GB2312" w:cs="宋体"/>
          <w:color w:val="auto"/>
          <w:sz w:val="24"/>
          <w:lang w:val="zh-CN"/>
        </w:rPr>
      </w:pPr>
      <w:r>
        <w:rPr>
          <w:rFonts w:hint="eastAsia" w:ascii="仿宋_GB2312" w:hAnsi="宋体" w:eastAsia="仿宋_GB2312" w:cs="宋体"/>
          <w:color w:val="auto"/>
          <w:sz w:val="24"/>
          <w:lang w:val="zh-CN"/>
        </w:rPr>
        <w:t>（4）如果我们成为中标候选人，我们会按你们的要求接受当面质询和商务谈判，并为你们的一切考查活动提供支持和方便。</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（5）如果我们中标，我们将在招标文件规定时间签订供货合同，并按期、按质、按量完成任务。</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（6）能够提供邀标文件中要求的所有资料。</w:t>
      </w:r>
    </w:p>
    <w:p>
      <w:pPr>
        <w:autoSpaceDE w:val="0"/>
        <w:autoSpaceDN w:val="0"/>
        <w:adjustRightInd w:val="0"/>
        <w:snapToGrid w:val="0"/>
        <w:spacing w:line="360" w:lineRule="auto"/>
        <w:ind w:firstLine="420" w:firstLineChars="175"/>
        <w:rPr>
          <w:rFonts w:ascii="仿宋_GB2312" w:eastAsia="仿宋_GB2312"/>
          <w:color w:val="auto"/>
          <w:sz w:val="24"/>
          <w:lang w:val="zh-CN"/>
        </w:rPr>
      </w:pPr>
      <w:r>
        <w:rPr>
          <w:rFonts w:hint="eastAsia" w:ascii="仿宋_GB2312" w:hAnsi="宋体" w:eastAsia="仿宋_GB2312" w:cs="宋体"/>
          <w:color w:val="auto"/>
          <w:sz w:val="24"/>
          <w:lang w:val="zh-CN"/>
        </w:rPr>
        <w:t>（7）遵守邀标文件规定的收费项目和标准，响应邀标书的要求。</w:t>
      </w:r>
    </w:p>
    <w:p>
      <w:pPr>
        <w:autoSpaceDE w:val="0"/>
        <w:autoSpaceDN w:val="0"/>
        <w:adjustRightInd w:val="0"/>
        <w:snapToGrid w:val="0"/>
        <w:spacing w:line="360" w:lineRule="auto"/>
        <w:ind w:firstLine="600" w:firstLineChars="250"/>
        <w:rPr>
          <w:rFonts w:ascii="仿宋_GB2312" w:eastAsia="仿宋_GB2312"/>
          <w:color w:val="auto"/>
          <w:sz w:val="24"/>
          <w:lang w:val="zh-CN"/>
        </w:rPr>
      </w:pPr>
      <w:r>
        <w:rPr>
          <w:rFonts w:hint="eastAsia" w:ascii="仿宋_GB2312" w:hAnsi="宋体" w:eastAsia="仿宋_GB2312" w:cs="宋体"/>
          <w:color w:val="auto"/>
          <w:sz w:val="24"/>
          <w:lang w:val="zh-CN"/>
        </w:rPr>
        <w:t>4.有关本投标书的函、电请按下列地址联系：</w:t>
      </w:r>
      <w:r>
        <w:rPr>
          <w:rFonts w:hint="eastAsia" w:ascii="仿宋_GB2312" w:hAnsi="宋体" w:eastAsia="仿宋_GB2312" w:cs="宋体"/>
          <w:color w:val="auto"/>
          <w:sz w:val="24"/>
          <w:u w:val="single"/>
          <w:lang w:val="zh-CN"/>
        </w:rPr>
        <w:t xml:space="preserve">            </w:t>
      </w:r>
      <w:r>
        <w:rPr>
          <w:rFonts w:hint="eastAsia" w:ascii="仿宋_GB2312" w:hAnsi="宋体" w:eastAsia="仿宋_GB2312" w:cs="宋体"/>
          <w:color w:val="auto"/>
          <w:sz w:val="24"/>
          <w:lang w:val="zh-CN"/>
        </w:rPr>
        <w:t>。</w:t>
      </w:r>
    </w:p>
    <w:p>
      <w:pPr>
        <w:autoSpaceDE w:val="0"/>
        <w:autoSpaceDN w:val="0"/>
        <w:adjustRightInd w:val="0"/>
        <w:snapToGrid w:val="0"/>
        <w:spacing w:line="360" w:lineRule="auto"/>
        <w:rPr>
          <w:rFonts w:ascii="仿宋_GB2312" w:eastAsia="仿宋_GB2312"/>
          <w:color w:val="auto"/>
          <w:sz w:val="24"/>
          <w:lang w:val="zh-CN"/>
        </w:rPr>
      </w:pPr>
    </w:p>
    <w:p>
      <w:pPr>
        <w:autoSpaceDE w:val="0"/>
        <w:autoSpaceDN w:val="0"/>
        <w:adjustRightInd w:val="0"/>
        <w:snapToGrid w:val="0"/>
        <w:spacing w:line="360" w:lineRule="auto"/>
        <w:ind w:firstLine="4680" w:firstLineChars="1950"/>
        <w:rPr>
          <w:rFonts w:ascii="仿宋_GB2312" w:eastAsia="仿宋_GB2312"/>
          <w:color w:val="auto"/>
          <w:sz w:val="24"/>
          <w:lang w:val="zh-CN"/>
        </w:rPr>
      </w:pPr>
      <w:r>
        <w:rPr>
          <w:rFonts w:hint="eastAsia" w:ascii="仿宋_GB2312" w:hAnsi="宋体" w:eastAsia="仿宋_GB2312" w:cs="宋体"/>
          <w:color w:val="auto"/>
          <w:sz w:val="24"/>
          <w:lang w:val="zh-CN"/>
        </w:rPr>
        <w:t>投标单位：          （盖章）</w:t>
      </w:r>
    </w:p>
    <w:p>
      <w:pPr>
        <w:autoSpaceDE w:val="0"/>
        <w:autoSpaceDN w:val="0"/>
        <w:adjustRightInd w:val="0"/>
        <w:snapToGrid w:val="0"/>
        <w:spacing w:line="360" w:lineRule="auto"/>
        <w:ind w:firstLine="4680" w:firstLineChars="1950"/>
        <w:rPr>
          <w:rFonts w:ascii="仿宋_GB2312" w:eastAsia="仿宋_GB2312"/>
          <w:color w:val="auto"/>
          <w:sz w:val="24"/>
          <w:lang w:val="zh-CN"/>
        </w:rPr>
      </w:pPr>
      <w:r>
        <w:rPr>
          <w:rFonts w:hint="eastAsia" w:ascii="仿宋_GB2312" w:hAnsi="宋体" w:eastAsia="仿宋_GB2312" w:cs="宋体"/>
          <w:color w:val="auto"/>
          <w:sz w:val="24"/>
          <w:lang w:val="zh-CN"/>
        </w:rPr>
        <w:t>法人或</w:t>
      </w:r>
      <w:r>
        <w:rPr>
          <w:rFonts w:hint="eastAsia" w:ascii="仿宋_GB2312" w:hAnsi="宋体" w:eastAsia="仿宋_GB2312" w:cs="宋体"/>
          <w:color w:val="auto"/>
          <w:sz w:val="24"/>
          <w:lang w:val="en-US" w:eastAsia="zh-CN"/>
        </w:rPr>
        <w:t>被</w:t>
      </w:r>
      <w:r>
        <w:rPr>
          <w:rFonts w:hint="eastAsia" w:ascii="仿宋_GB2312" w:hAnsi="宋体" w:eastAsia="仿宋_GB2312" w:cs="宋体"/>
          <w:color w:val="auto"/>
          <w:sz w:val="24"/>
          <w:lang w:val="zh-CN"/>
        </w:rPr>
        <w:t>授权代表人：  （盖章）</w:t>
      </w:r>
    </w:p>
    <w:p>
      <w:pPr>
        <w:autoSpaceDE w:val="0"/>
        <w:autoSpaceDN w:val="0"/>
        <w:adjustRightInd w:val="0"/>
        <w:snapToGrid w:val="0"/>
        <w:spacing w:line="360" w:lineRule="auto"/>
        <w:ind w:right="480" w:firstLine="4680" w:firstLineChars="1950"/>
        <w:rPr>
          <w:rFonts w:ascii="仿宋_GB2312" w:hAnsi="宋体" w:eastAsia="仿宋_GB2312" w:cs="宋体"/>
          <w:b/>
          <w:bCs/>
          <w:color w:val="auto"/>
          <w:sz w:val="28"/>
          <w:szCs w:val="21"/>
          <w:lang w:val="zh-CN"/>
        </w:rPr>
      </w:pPr>
      <w:r>
        <w:rPr>
          <w:rFonts w:hint="eastAsia" w:ascii="仿宋_GB2312" w:hAnsi="宋体" w:eastAsia="仿宋_GB2312" w:cs="宋体"/>
          <w:color w:val="auto"/>
          <w:sz w:val="24"/>
          <w:lang w:val="zh-CN"/>
        </w:rPr>
        <w:t xml:space="preserve">年      月   </w:t>
      </w: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tbl>
      <w:tblPr>
        <w:tblStyle w:val="11"/>
        <w:tblpPr w:leftFromText="180" w:rightFromText="180" w:vertAnchor="text" w:horzAnchor="page" w:tblpX="1212" w:tblpY="570"/>
        <w:tblOverlap w:val="never"/>
        <w:tblW w:w="9400" w:type="dxa"/>
        <w:tblInd w:w="0" w:type="dxa"/>
        <w:tblLayout w:type="fixed"/>
        <w:tblCellMar>
          <w:top w:w="15" w:type="dxa"/>
          <w:left w:w="15" w:type="dxa"/>
          <w:bottom w:w="15" w:type="dxa"/>
          <w:right w:w="15" w:type="dxa"/>
        </w:tblCellMar>
      </w:tblPr>
      <w:tblGrid>
        <w:gridCol w:w="1287"/>
        <w:gridCol w:w="8113"/>
      </w:tblGrid>
      <w:tr>
        <w:tblPrEx>
          <w:tblCellMar>
            <w:top w:w="15" w:type="dxa"/>
            <w:left w:w="15" w:type="dxa"/>
            <w:bottom w:w="15" w:type="dxa"/>
            <w:right w:w="15" w:type="dxa"/>
          </w:tblCellMar>
        </w:tblPrEx>
        <w:trPr>
          <w:trHeight w:val="420" w:hRule="atLeast"/>
        </w:trPr>
        <w:tc>
          <w:tcPr>
            <w:tcW w:w="9400" w:type="dxa"/>
            <w:gridSpan w:val="2"/>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60" w:lineRule="auto"/>
              <w:ind w:left="482" w:leftChars="0"/>
              <w:jc w:val="center"/>
              <w:rPr>
                <w:rFonts w:hint="eastAsia" w:ascii="仿宋" w:hAnsi="仿宋" w:eastAsia="仿宋" w:cs="仿宋"/>
                <w:b/>
                <w:color w:val="auto"/>
                <w:kern w:val="0"/>
                <w:sz w:val="28"/>
                <w:szCs w:val="28"/>
                <w:lang w:bidi="ar"/>
              </w:rPr>
            </w:pPr>
            <w:r>
              <w:rPr>
                <w:rFonts w:hint="eastAsia" w:ascii="仿宋" w:hAnsi="仿宋" w:eastAsia="仿宋" w:cs="仿宋"/>
                <w:b/>
                <w:color w:val="auto"/>
                <w:kern w:val="0"/>
                <w:sz w:val="28"/>
                <w:szCs w:val="28"/>
                <w:lang w:bidi="ar"/>
              </w:rPr>
              <w:t>报价表</w:t>
            </w: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项目名称</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擦手纸</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元/包，报价包含产品、运输、卸货及院内搬运、税费等招标文件要求</w:t>
            </w: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产品参数及规格</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sz w:val="20"/>
              </w:rPr>
            </w:pPr>
            <w:r>
              <w:rPr>
                <w:rFonts w:hint="eastAsia" w:ascii="仿宋" w:hAnsi="仿宋" w:eastAsia="仿宋" w:cs="仿宋"/>
                <w:color w:val="auto"/>
                <w:kern w:val="0"/>
                <w:sz w:val="20"/>
                <w:lang w:val="en-US" w:eastAsia="zh-CN" w:bidi="ar"/>
              </w:rPr>
              <w:t>产品</w:t>
            </w:r>
            <w:r>
              <w:rPr>
                <w:rFonts w:hint="eastAsia" w:ascii="仿宋" w:hAnsi="仿宋" w:eastAsia="仿宋" w:cs="仿宋"/>
                <w:color w:val="auto"/>
                <w:kern w:val="0"/>
                <w:sz w:val="20"/>
                <w:lang w:bidi="ar"/>
              </w:rPr>
              <w:t>有效期</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0"/>
                <w:lang w:val="en-US" w:eastAsia="zh-CN" w:bidi="ar-SA"/>
              </w:rPr>
            </w:pPr>
            <w:r>
              <w:rPr>
                <w:rFonts w:hint="eastAsia" w:ascii="仿宋" w:hAnsi="仿宋" w:eastAsia="仿宋" w:cs="仿宋"/>
                <w:color w:val="auto"/>
                <w:kern w:val="0"/>
                <w:sz w:val="20"/>
                <w:lang w:val="en-US" w:eastAsia="zh-CN" w:bidi="ar"/>
              </w:rPr>
              <w:t>产品</w:t>
            </w:r>
            <w:r>
              <w:rPr>
                <w:rFonts w:hint="eastAsia" w:ascii="仿宋" w:hAnsi="仿宋" w:eastAsia="仿宋" w:cs="仿宋"/>
                <w:color w:val="auto"/>
                <w:kern w:val="0"/>
                <w:sz w:val="20"/>
                <w:lang w:bidi="ar"/>
              </w:rPr>
              <w:t>业绩</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0"/>
                <w:lang w:val="en-US" w:eastAsia="zh-CN" w:bidi="ar-SA"/>
              </w:rPr>
            </w:pPr>
            <w:r>
              <w:rPr>
                <w:rFonts w:hint="eastAsia" w:ascii="仿宋" w:hAnsi="仿宋" w:eastAsia="仿宋" w:cs="仿宋"/>
                <w:color w:val="auto"/>
                <w:kern w:val="0"/>
                <w:sz w:val="20"/>
                <w:lang w:bidi="ar"/>
              </w:rPr>
              <w:t>其他承诺和优惠条款</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0"/>
              </w:rPr>
            </w:pPr>
          </w:p>
        </w:tc>
      </w:tr>
      <w:tr>
        <w:tblPrEx>
          <w:tblCellMar>
            <w:top w:w="15" w:type="dxa"/>
            <w:left w:w="15" w:type="dxa"/>
            <w:bottom w:w="15" w:type="dxa"/>
            <w:right w:w="15" w:type="dxa"/>
          </w:tblCellMar>
        </w:tblPrEx>
        <w:trPr>
          <w:trHeight w:val="540" w:hRule="atLeast"/>
        </w:trPr>
        <w:tc>
          <w:tcPr>
            <w:tcW w:w="128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auto"/>
                <w:sz w:val="20"/>
                <w:lang w:val="en-US" w:eastAsia="zh-CN"/>
              </w:rPr>
            </w:pPr>
            <w:r>
              <w:rPr>
                <w:rFonts w:hint="eastAsia" w:ascii="仿宋" w:hAnsi="仿宋" w:eastAsia="仿宋" w:cs="仿宋"/>
                <w:color w:val="auto"/>
                <w:sz w:val="20"/>
                <w:lang w:val="en-US" w:eastAsia="zh-CN"/>
              </w:rPr>
              <w:t>注意</w:t>
            </w:r>
          </w:p>
        </w:tc>
        <w:tc>
          <w:tcPr>
            <w:tcW w:w="811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cs="仿宋"/>
                <w:color w:val="auto"/>
                <w:sz w:val="20"/>
                <w:lang w:val="en-US" w:eastAsia="zh-CN"/>
              </w:rPr>
            </w:pPr>
            <w:r>
              <w:rPr>
                <w:rFonts w:hint="eastAsia" w:ascii="仿宋" w:hAnsi="仿宋" w:eastAsia="仿宋" w:cs="仿宋"/>
                <w:color w:val="auto"/>
                <w:sz w:val="20"/>
                <w:lang w:val="en-US" w:eastAsia="zh-CN"/>
              </w:rPr>
              <w:t>本项目为按照采购人要求进行分批次配送，投标人需考虑配送成本。</w:t>
            </w:r>
          </w:p>
        </w:tc>
      </w:tr>
    </w:tbl>
    <w:p>
      <w:pPr>
        <w:rPr>
          <w:color w:val="auto"/>
        </w:rPr>
      </w:pPr>
    </w:p>
    <w:p>
      <w:pPr>
        <w:wordWrap w:val="0"/>
        <w:jc w:val="right"/>
        <w:rPr>
          <w:rFonts w:hint="eastAsia" w:ascii="仿宋" w:hAnsi="仿宋" w:eastAsia="仿宋" w:cs="仿宋"/>
          <w:color w:val="auto"/>
          <w:sz w:val="20"/>
          <w:lang w:val="en-US" w:eastAsia="zh-CN"/>
        </w:rPr>
      </w:pPr>
    </w:p>
    <w:p>
      <w:pPr>
        <w:wordWrap w:val="0"/>
        <w:jc w:val="right"/>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投标人盖章：     </w:t>
      </w:r>
    </w:p>
    <w:p>
      <w:pPr>
        <w:wordWrap w:val="0"/>
        <w:jc w:val="right"/>
        <w:rPr>
          <w:rFonts w:hint="default" w:ascii="仿宋" w:hAnsi="仿宋" w:eastAsia="仿宋" w:cs="仿宋"/>
          <w:color w:val="auto"/>
          <w:sz w:val="20"/>
          <w:lang w:val="en-US" w:eastAsia="zh-CN"/>
        </w:rPr>
      </w:pPr>
      <w:r>
        <w:rPr>
          <w:rFonts w:hint="eastAsia" w:ascii="仿宋" w:hAnsi="仿宋" w:eastAsia="仿宋" w:cs="仿宋"/>
          <w:color w:val="auto"/>
          <w:sz w:val="22"/>
          <w:szCs w:val="22"/>
          <w:lang w:val="en-US" w:eastAsia="zh-CN"/>
        </w:rPr>
        <w:t xml:space="preserve">投标日期：  </w:t>
      </w:r>
      <w:r>
        <w:rPr>
          <w:rFonts w:hint="eastAsia" w:ascii="仿宋" w:hAnsi="仿宋" w:eastAsia="仿宋" w:cs="仿宋"/>
          <w:color w:val="auto"/>
          <w:sz w:val="20"/>
          <w:lang w:val="en-US" w:eastAsia="zh-CN"/>
        </w:rPr>
        <w:t xml:space="preserve"> </w:t>
      </w:r>
    </w:p>
    <w:p>
      <w:pPr>
        <w:pStyle w:val="3"/>
        <w:tabs>
          <w:tab w:val="left" w:pos="720"/>
        </w:tabs>
        <w:adjustRightInd w:val="0"/>
        <w:snapToGrid w:val="0"/>
        <w:spacing w:line="360" w:lineRule="auto"/>
        <w:ind w:left="720"/>
        <w:rPr>
          <w:color w:val="auto"/>
        </w:rPr>
      </w:pPr>
      <w:r>
        <w:rPr>
          <w:rFonts w:hint="eastAsia"/>
          <w:color w:val="auto"/>
        </w:rPr>
        <w:br w:type="page"/>
      </w:r>
      <w:r>
        <w:rPr>
          <w:rFonts w:hint="eastAsia"/>
          <w:color w:val="auto"/>
        </w:rPr>
        <w:t>三、法定代表人身份证明书（格式）</w:t>
      </w: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5" w:name="_Toc173677397"/>
      <w:bookmarkStart w:id="6" w:name="_Toc156196470"/>
      <w:bookmarkStart w:id="7" w:name="_Toc156815770"/>
      <w:bookmarkStart w:id="8" w:name="_Toc175017342"/>
      <w:bookmarkStart w:id="9" w:name="_Toc128229302"/>
      <w:bookmarkStart w:id="10" w:name="_Toc128229916"/>
      <w:bookmarkStart w:id="11" w:name="_Toc166139912"/>
      <w:bookmarkStart w:id="12" w:name="_Toc156196559"/>
      <w:bookmarkStart w:id="13" w:name="_Toc156730450"/>
      <w:bookmarkStart w:id="14" w:name="_Toc166549448"/>
      <w:bookmarkStart w:id="15" w:name="_Toc128229745"/>
      <w:r>
        <w:rPr>
          <w:rFonts w:hint="eastAsia" w:ascii="仿宋_GB2312" w:eastAsia="仿宋_GB2312"/>
          <w:color w:val="auto"/>
          <w:sz w:val="24"/>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6" w:name="_Toc175017343"/>
      <w:bookmarkStart w:id="17" w:name="_Toc128229746"/>
      <w:bookmarkStart w:id="18" w:name="_Toc128229917"/>
      <w:bookmarkStart w:id="19" w:name="_Toc156196471"/>
      <w:bookmarkStart w:id="20" w:name="_Toc166139913"/>
      <w:bookmarkStart w:id="21" w:name="_Toc156730451"/>
      <w:bookmarkStart w:id="22" w:name="_Toc156196560"/>
      <w:bookmarkStart w:id="23" w:name="_Toc173677398"/>
      <w:bookmarkStart w:id="24" w:name="_Toc128229303"/>
      <w:bookmarkStart w:id="25" w:name="_Toc156815771"/>
      <w:bookmarkStart w:id="26" w:name="_Toc166549449"/>
      <w:r>
        <w:rPr>
          <w:rFonts w:hint="eastAsia" w:ascii="仿宋_GB2312" w:eastAsia="仿宋_GB2312"/>
          <w:color w:val="auto"/>
          <w:sz w:val="24"/>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3677399"/>
      <w:bookmarkStart w:id="28" w:name="_Toc128229747"/>
      <w:bookmarkStart w:id="29" w:name="_Toc175017344"/>
      <w:bookmarkStart w:id="30" w:name="_Toc128014297"/>
      <w:bookmarkStart w:id="31" w:name="_Toc128229304"/>
      <w:bookmarkStart w:id="32" w:name="_Toc237057793"/>
      <w:bookmarkStart w:id="33" w:name="_Toc156196472"/>
    </w:p>
    <w:p>
      <w:pPr>
        <w:pStyle w:val="3"/>
        <w:adjustRightInd w:val="0"/>
        <w:snapToGrid w:val="0"/>
        <w:spacing w:line="360" w:lineRule="auto"/>
        <w:rPr>
          <w:color w:val="auto"/>
        </w:rPr>
      </w:pPr>
      <w:r>
        <w:rPr>
          <w:rFonts w:hint="eastAsia"/>
          <w:color w:val="auto"/>
        </w:rPr>
        <w:t>四、投标人法定代表人授权委托书（格式）</w:t>
      </w:r>
      <w:bookmarkEnd w:id="27"/>
      <w:bookmarkEnd w:id="28"/>
      <w:bookmarkEnd w:id="29"/>
      <w:bookmarkEnd w:id="30"/>
      <w:bookmarkEnd w:id="31"/>
      <w:bookmarkEnd w:id="32"/>
      <w:bookmarkEnd w:id="33"/>
    </w:p>
    <w:p>
      <w:pPr>
        <w:pStyle w:val="6"/>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u w:val="single"/>
          <w:lang w:eastAsia="zh-CN"/>
        </w:rPr>
        <w:t>、</w:t>
      </w:r>
      <w:r>
        <w:rPr>
          <w:rFonts w:hint="eastAsia" w:ascii="仿宋_GB2312" w:hAnsi="宋体" w:eastAsia="仿宋_GB2312"/>
          <w:color w:val="auto"/>
          <w:sz w:val="24"/>
          <w:u w:val="single"/>
          <w:lang w:val="en-US" w:eastAsia="zh-CN"/>
        </w:rPr>
        <w:t>电话号码</w:t>
      </w:r>
      <w:r>
        <w:rPr>
          <w:rFonts w:hint="eastAsia" w:ascii="仿宋_GB2312" w:hAnsi="宋体" w:eastAsia="仿宋_GB2312"/>
          <w:color w:val="auto"/>
          <w:sz w:val="24"/>
          <w:u w:val="single"/>
        </w:rPr>
        <w:t>）</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 xml:space="preserve">附件2：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采购</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autoSpaceDE w:val="0"/>
        <w:autoSpaceDN w:val="0"/>
        <w:adjustRightInd w:val="0"/>
        <w:snapToGrid w:val="0"/>
        <w:spacing w:line="276" w:lineRule="auto"/>
        <w:ind w:firstLine="420" w:firstLineChars="200"/>
        <w:jc w:val="left"/>
        <w:rPr>
          <w:rFonts w:ascii="仿宋" w:hAnsi="仿宋" w:eastAsia="仿宋"/>
          <w:kern w:val="0"/>
          <w:szCs w:val="21"/>
        </w:rPr>
      </w:pPr>
    </w:p>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570"/>
        </w:tabs>
        <w:ind w:left="570" w:hanging="57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E0"/>
    <w:rsid w:val="00086457"/>
    <w:rsid w:val="001C5FBC"/>
    <w:rsid w:val="00244B87"/>
    <w:rsid w:val="005F7C31"/>
    <w:rsid w:val="00A252A4"/>
    <w:rsid w:val="00DC5030"/>
    <w:rsid w:val="00E445E0"/>
    <w:rsid w:val="00F57EB8"/>
    <w:rsid w:val="00F61DFC"/>
    <w:rsid w:val="01FC2334"/>
    <w:rsid w:val="08305016"/>
    <w:rsid w:val="0C4070E3"/>
    <w:rsid w:val="0F6B6D3C"/>
    <w:rsid w:val="1127726F"/>
    <w:rsid w:val="12C54103"/>
    <w:rsid w:val="14A16093"/>
    <w:rsid w:val="14BA0986"/>
    <w:rsid w:val="163C7ABF"/>
    <w:rsid w:val="17CD617D"/>
    <w:rsid w:val="187A3C70"/>
    <w:rsid w:val="189221C7"/>
    <w:rsid w:val="193C6C24"/>
    <w:rsid w:val="19BF58A1"/>
    <w:rsid w:val="1D8A14F0"/>
    <w:rsid w:val="1F9F1AB3"/>
    <w:rsid w:val="206B29E9"/>
    <w:rsid w:val="260375AF"/>
    <w:rsid w:val="2A641BEC"/>
    <w:rsid w:val="2BE738F6"/>
    <w:rsid w:val="2C4E3A86"/>
    <w:rsid w:val="2D2944BE"/>
    <w:rsid w:val="2F480F12"/>
    <w:rsid w:val="2FBB1EC7"/>
    <w:rsid w:val="31747F90"/>
    <w:rsid w:val="31EC6056"/>
    <w:rsid w:val="33490D83"/>
    <w:rsid w:val="336B6A5B"/>
    <w:rsid w:val="34817B05"/>
    <w:rsid w:val="3591126D"/>
    <w:rsid w:val="35B37CD8"/>
    <w:rsid w:val="35BC7646"/>
    <w:rsid w:val="37922606"/>
    <w:rsid w:val="37EE614D"/>
    <w:rsid w:val="382F5288"/>
    <w:rsid w:val="395A55A8"/>
    <w:rsid w:val="39FE23D7"/>
    <w:rsid w:val="3D953A3C"/>
    <w:rsid w:val="3EFE314B"/>
    <w:rsid w:val="41E440AB"/>
    <w:rsid w:val="42DF4645"/>
    <w:rsid w:val="48680EFE"/>
    <w:rsid w:val="4EE34255"/>
    <w:rsid w:val="50101780"/>
    <w:rsid w:val="50D61909"/>
    <w:rsid w:val="52A511EA"/>
    <w:rsid w:val="545F09D6"/>
    <w:rsid w:val="555114C5"/>
    <w:rsid w:val="56CB70C2"/>
    <w:rsid w:val="57DB33E3"/>
    <w:rsid w:val="59A13C20"/>
    <w:rsid w:val="5A512369"/>
    <w:rsid w:val="5A5B0C64"/>
    <w:rsid w:val="5C3A2DA7"/>
    <w:rsid w:val="5C5032DC"/>
    <w:rsid w:val="60A32FC7"/>
    <w:rsid w:val="60BC4792"/>
    <w:rsid w:val="622A5268"/>
    <w:rsid w:val="62BA0AE5"/>
    <w:rsid w:val="63C86061"/>
    <w:rsid w:val="65051C35"/>
    <w:rsid w:val="65C64E6A"/>
    <w:rsid w:val="6B3B2D19"/>
    <w:rsid w:val="6D406C99"/>
    <w:rsid w:val="6E3E05AF"/>
    <w:rsid w:val="6F2914EE"/>
    <w:rsid w:val="721C55AE"/>
    <w:rsid w:val="72CB7837"/>
    <w:rsid w:val="740F0761"/>
    <w:rsid w:val="74195F93"/>
    <w:rsid w:val="74581E2E"/>
    <w:rsid w:val="748930CA"/>
    <w:rsid w:val="76CA13F7"/>
    <w:rsid w:val="78C334AB"/>
    <w:rsid w:val="793938B5"/>
    <w:rsid w:val="7A4128DE"/>
    <w:rsid w:val="7AD67F26"/>
    <w:rsid w:val="7B3A742C"/>
    <w:rsid w:val="7E68523A"/>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5"/>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Body Text"/>
    <w:basedOn w:val="1"/>
    <w:next w:val="1"/>
    <w:link w:val="14"/>
    <w:qFormat/>
    <w:uiPriority w:val="1"/>
    <w:rPr>
      <w:rFonts w:ascii="宋体" w:hAnsi="宋体" w:cs="宋体"/>
      <w:sz w:val="24"/>
      <w:szCs w:val="24"/>
      <w:lang w:val="zh-CN" w:bidi="zh-CN"/>
    </w:rPr>
  </w:style>
  <w:style w:type="paragraph" w:styleId="4">
    <w:name w:val="Body Text Indent"/>
    <w:basedOn w:val="1"/>
    <w:next w:val="5"/>
    <w:qFormat/>
    <w:uiPriority w:val="99"/>
    <w:pPr>
      <w:spacing w:after="120"/>
      <w:ind w:left="200" w:leftChars="200"/>
    </w:pPr>
    <w:rPr>
      <w:szCs w:val="24"/>
    </w:rPr>
  </w:style>
  <w:style w:type="paragraph" w:styleId="5">
    <w:name w:val="envelope return"/>
    <w:basedOn w:val="1"/>
    <w:qFormat/>
    <w:uiPriority w:val="99"/>
    <w:pPr>
      <w:snapToGrid w:val="0"/>
    </w:pPr>
    <w:rPr>
      <w:rFonts w:ascii="Arial" w:hAnsi="Arial"/>
      <w:szCs w:val="20"/>
    </w:rPr>
  </w:style>
  <w:style w:type="paragraph" w:styleId="6">
    <w:name w:val="Date"/>
    <w:basedOn w:val="1"/>
    <w:next w:val="1"/>
    <w:link w:val="16"/>
    <w:qFormat/>
    <w:uiPriority w:val="0"/>
    <w:rPr>
      <w:sz w:val="28"/>
    </w:rPr>
  </w:style>
  <w:style w:type="paragraph" w:styleId="7">
    <w:name w:val="footer"/>
    <w:basedOn w:val="1"/>
    <w:link w:val="17"/>
    <w:qFormat/>
    <w:uiPriority w:val="0"/>
    <w:pPr>
      <w:tabs>
        <w:tab w:val="center" w:pos="4153"/>
        <w:tab w:val="right" w:pos="8306"/>
      </w:tabs>
      <w:snapToGrid w:val="0"/>
      <w:jc w:val="left"/>
    </w:pPr>
    <w:rPr>
      <w:sz w:val="18"/>
    </w:rPr>
  </w:style>
  <w:style w:type="paragraph" w:styleId="8">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next w:val="2"/>
    <w:qFormat/>
    <w:uiPriority w:val="99"/>
    <w:pPr>
      <w:ind w:left="420" w:firstLine="420" w:firstLineChars="200"/>
    </w:pPr>
  </w:style>
  <w:style w:type="character" w:styleId="13">
    <w:name w:val="Strong"/>
    <w:basedOn w:val="12"/>
    <w:qFormat/>
    <w:uiPriority w:val="0"/>
    <w:rPr>
      <w:b/>
    </w:rPr>
  </w:style>
  <w:style w:type="character" w:customStyle="1" w:styleId="14">
    <w:name w:val="正文文本 Char"/>
    <w:link w:val="2"/>
    <w:uiPriority w:val="1"/>
    <w:rPr>
      <w:rFonts w:ascii="宋体" w:hAnsi="宋体" w:eastAsia="宋体" w:cs="宋体"/>
      <w:sz w:val="24"/>
      <w:szCs w:val="24"/>
      <w:lang w:val="zh-CN" w:bidi="zh-CN"/>
    </w:rPr>
  </w:style>
  <w:style w:type="character" w:customStyle="1" w:styleId="15">
    <w:name w:val="标题 2 Char"/>
    <w:link w:val="3"/>
    <w:uiPriority w:val="0"/>
    <w:rPr>
      <w:rFonts w:ascii="仿宋_GB2312" w:hAnsi="Arial" w:eastAsia="仿宋_GB2312" w:cs="Times New Roman"/>
      <w:b/>
      <w:sz w:val="24"/>
      <w:szCs w:val="20"/>
    </w:rPr>
  </w:style>
  <w:style w:type="character" w:customStyle="1" w:styleId="16">
    <w:name w:val="日期 Char"/>
    <w:link w:val="6"/>
    <w:uiPriority w:val="0"/>
    <w:rPr>
      <w:rFonts w:ascii="Times New Roman" w:hAnsi="Times New Roman" w:eastAsia="宋体" w:cs="Times New Roman"/>
      <w:sz w:val="28"/>
      <w:szCs w:val="20"/>
    </w:rPr>
  </w:style>
  <w:style w:type="character" w:customStyle="1" w:styleId="17">
    <w:name w:val="页脚 Char"/>
    <w:link w:val="7"/>
    <w:uiPriority w:val="0"/>
    <w:rPr>
      <w:rFonts w:ascii="Times New Roman" w:hAnsi="Times New Roman" w:eastAsia="宋体" w:cs="Times New Roman"/>
      <w:sz w:val="18"/>
      <w:szCs w:val="20"/>
    </w:rPr>
  </w:style>
  <w:style w:type="character" w:customStyle="1" w:styleId="18">
    <w:name w:val="页眉 Char"/>
    <w:link w:val="8"/>
    <w:uiPriority w:val="0"/>
    <w:rPr>
      <w:rFonts w:ascii="Times New Roman" w:hAnsi="Times New Roman" w:eastAsia="宋体" w:cs="Times New Roman"/>
      <w:sz w:val="18"/>
      <w:szCs w:val="20"/>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4829</Words>
  <Characters>4968</Characters>
  <Lines>202</Lines>
  <Paragraphs>243</Paragraphs>
  <TotalTime>1</TotalTime>
  <ScaleCrop>false</ScaleCrop>
  <LinksUpToDate>false</LinksUpToDate>
  <CharactersWithSpaces>5587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nightmare-z</cp:lastModifiedBy>
  <cp:lastPrinted>2023-12-05T03:17:06Z</cp:lastPrinted>
  <dcterms:modified xsi:type="dcterms:W3CDTF">2023-12-11T03:34:18Z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F4D5882DD0254E63A9BE02A54EF0DAFF</vt:lpwstr>
  </property>
</Properties>
</file>